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36AAE" w14:textId="16967F9C" w:rsidR="003F01B3" w:rsidRPr="00B266B0" w:rsidRDefault="003F01B3" w:rsidP="003F01B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305105">
        <w:rPr>
          <w:bCs/>
          <w:noProof w:val="0"/>
          <w:sz w:val="24"/>
          <w:szCs w:val="24"/>
        </w:rPr>
        <w:t>3168</w:t>
      </w:r>
    </w:p>
    <w:p w14:paraId="11776FA6" w14:textId="34822243" w:rsidR="00A209D6" w:rsidRPr="007438C6" w:rsidRDefault="003F01B3" w:rsidP="003F01B3">
      <w:pPr>
        <w:pStyle w:val="Header"/>
        <w:tabs>
          <w:tab w:val="right" w:pos="9639"/>
        </w:tabs>
        <w:jc w:val="both"/>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sidRPr="007438C6">
        <w:rPr>
          <w:rFonts w:eastAsia="SimSun"/>
          <w:noProof w:val="0"/>
          <w:sz w:val="24"/>
          <w:szCs w:val="24"/>
          <w:lang w:eastAsia="zh-CN"/>
        </w:rPr>
        <w:tab/>
      </w:r>
    </w:p>
    <w:p w14:paraId="2E02E5F5" w14:textId="77777777" w:rsidR="00A209D6" w:rsidRPr="007438C6" w:rsidRDefault="00A209D6" w:rsidP="00D52BE2">
      <w:pPr>
        <w:pStyle w:val="Header"/>
        <w:jc w:val="both"/>
        <w:rPr>
          <w:bCs/>
          <w:noProof w:val="0"/>
          <w:sz w:val="24"/>
        </w:rPr>
      </w:pPr>
    </w:p>
    <w:p w14:paraId="403CB9C0" w14:textId="77777777" w:rsidR="00A209D6" w:rsidRPr="007438C6" w:rsidRDefault="00A209D6" w:rsidP="00D52BE2">
      <w:pPr>
        <w:pStyle w:val="Header"/>
        <w:jc w:val="both"/>
        <w:rPr>
          <w:bCs/>
          <w:noProof w:val="0"/>
          <w:sz w:val="24"/>
        </w:rPr>
      </w:pPr>
    </w:p>
    <w:p w14:paraId="310B92C9" w14:textId="2BCB8EC6" w:rsidR="00446C3A" w:rsidRPr="007438C6" w:rsidRDefault="00446C3A" w:rsidP="00D52BE2">
      <w:pPr>
        <w:pStyle w:val="CRCoverPage"/>
        <w:tabs>
          <w:tab w:val="left" w:pos="1985"/>
        </w:tabs>
        <w:jc w:val="both"/>
        <w:rPr>
          <w:rFonts w:cs="Arial"/>
          <w:b/>
          <w:bCs/>
          <w:sz w:val="24"/>
          <w:lang w:eastAsia="ja-JP"/>
        </w:rPr>
      </w:pPr>
      <w:r w:rsidRPr="007438C6">
        <w:rPr>
          <w:rFonts w:cs="Arial"/>
          <w:b/>
          <w:bCs/>
          <w:sz w:val="24"/>
        </w:rPr>
        <w:t>Agenda item:</w:t>
      </w:r>
      <w:r w:rsidRPr="007438C6">
        <w:rPr>
          <w:rFonts w:cs="Arial"/>
          <w:b/>
          <w:bCs/>
          <w:sz w:val="24"/>
        </w:rPr>
        <w:tab/>
      </w:r>
      <w:r w:rsidR="00B166B8">
        <w:rPr>
          <w:rFonts w:cs="Arial"/>
          <w:b/>
          <w:bCs/>
          <w:sz w:val="24"/>
          <w:lang w:eastAsia="ja-JP"/>
        </w:rPr>
        <w:t>7.7.4.1.</w:t>
      </w:r>
      <w:r w:rsidR="008B492B">
        <w:rPr>
          <w:rFonts w:cs="Arial"/>
          <w:b/>
          <w:bCs/>
          <w:sz w:val="24"/>
          <w:lang w:eastAsia="ja-JP"/>
        </w:rPr>
        <w:t>1</w:t>
      </w:r>
    </w:p>
    <w:p w14:paraId="73188B46" w14:textId="77777777" w:rsidR="00446C3A" w:rsidRPr="007438C6" w:rsidRDefault="00446C3A" w:rsidP="00D52BE2">
      <w:pPr>
        <w:tabs>
          <w:tab w:val="left" w:pos="1985"/>
        </w:tabs>
        <w:ind w:left="1985" w:hanging="1985"/>
        <w:jc w:val="both"/>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553D264F" w14:textId="40941E5C" w:rsidR="00446C3A" w:rsidRPr="007438C6" w:rsidRDefault="00446C3A" w:rsidP="00D52BE2">
      <w:pPr>
        <w:ind w:left="1985" w:hanging="1985"/>
        <w:jc w:val="both"/>
        <w:rPr>
          <w:rFonts w:ascii="Arial" w:hAnsi="Arial" w:cs="Arial"/>
          <w:b/>
          <w:bCs/>
          <w:sz w:val="24"/>
        </w:rPr>
      </w:pPr>
      <w:r w:rsidRPr="007438C6">
        <w:rPr>
          <w:rFonts w:ascii="Arial" w:hAnsi="Arial" w:cs="Arial"/>
          <w:b/>
          <w:bCs/>
          <w:sz w:val="24"/>
        </w:rPr>
        <w:t>Title:</w:t>
      </w:r>
      <w:r w:rsidRPr="007438C6">
        <w:rPr>
          <w:rFonts w:ascii="Arial" w:hAnsi="Arial" w:cs="Arial"/>
          <w:b/>
          <w:bCs/>
          <w:sz w:val="24"/>
        </w:rPr>
        <w:tab/>
      </w:r>
      <w:r w:rsidR="00305105" w:rsidRPr="00305105">
        <w:rPr>
          <w:rFonts w:ascii="Arial" w:hAnsi="Arial" w:cs="Arial"/>
          <w:b/>
          <w:bCs/>
          <w:sz w:val="24"/>
        </w:rPr>
        <w:t xml:space="preserve">On TN Coverage Area Information - </w:t>
      </w:r>
      <w:proofErr w:type="spellStart"/>
      <w:r w:rsidR="00305105" w:rsidRPr="00305105">
        <w:rPr>
          <w:rFonts w:ascii="Arial" w:hAnsi="Arial" w:cs="Arial"/>
          <w:b/>
          <w:bCs/>
          <w:sz w:val="24"/>
        </w:rPr>
        <w:t>signaling</w:t>
      </w:r>
      <w:proofErr w:type="spellEnd"/>
      <w:r w:rsidR="00305105" w:rsidRPr="00305105">
        <w:rPr>
          <w:rFonts w:ascii="Arial" w:hAnsi="Arial" w:cs="Arial"/>
          <w:b/>
          <w:bCs/>
          <w:sz w:val="24"/>
        </w:rPr>
        <w:t>, validity and definition aspects</w:t>
      </w:r>
    </w:p>
    <w:p w14:paraId="25F387E8" w14:textId="30FD237C" w:rsidR="00446C3A" w:rsidRPr="007438C6" w:rsidRDefault="00446C3A" w:rsidP="00D52BE2">
      <w:pPr>
        <w:ind w:left="1985" w:hanging="1985"/>
        <w:jc w:val="both"/>
        <w:rPr>
          <w:rFonts w:ascii="Arial" w:hAnsi="Arial" w:cs="Arial"/>
          <w:b/>
          <w:bCs/>
          <w:sz w:val="24"/>
        </w:rPr>
      </w:pPr>
      <w:r w:rsidRPr="007438C6">
        <w:rPr>
          <w:rFonts w:ascii="Arial" w:hAnsi="Arial" w:cs="Arial"/>
          <w:b/>
          <w:bCs/>
          <w:sz w:val="24"/>
        </w:rPr>
        <w:t>WID/SID:</w:t>
      </w:r>
      <w:r w:rsidRPr="007438C6">
        <w:rPr>
          <w:rFonts w:ascii="Arial" w:hAnsi="Arial" w:cs="Arial"/>
          <w:b/>
          <w:bCs/>
          <w:sz w:val="24"/>
        </w:rPr>
        <w:tab/>
      </w:r>
      <w:proofErr w:type="spellStart"/>
      <w:r w:rsidR="009603BA" w:rsidRPr="009603BA">
        <w:rPr>
          <w:rFonts w:ascii="Arial" w:hAnsi="Arial" w:cs="Arial"/>
          <w:b/>
          <w:bCs/>
          <w:sz w:val="24"/>
        </w:rPr>
        <w:t>NR_NTN_enh</w:t>
      </w:r>
      <w:proofErr w:type="spellEnd"/>
      <w:r w:rsidR="009603BA" w:rsidRPr="009603BA" w:rsidDel="009603BA">
        <w:rPr>
          <w:rFonts w:ascii="Arial" w:hAnsi="Arial" w:cs="Arial"/>
          <w:b/>
          <w:bCs/>
          <w:sz w:val="24"/>
        </w:rPr>
        <w:t xml:space="preserve"> </w:t>
      </w:r>
      <w:r w:rsidRPr="007438C6">
        <w:rPr>
          <w:rFonts w:ascii="Arial" w:hAnsi="Arial" w:cs="Arial"/>
          <w:b/>
          <w:bCs/>
          <w:sz w:val="24"/>
        </w:rPr>
        <w:t xml:space="preserve">- Release </w:t>
      </w:r>
      <w:r w:rsidR="0025571F" w:rsidRPr="007438C6">
        <w:rPr>
          <w:rFonts w:ascii="Arial" w:hAnsi="Arial" w:cs="Arial"/>
          <w:b/>
          <w:bCs/>
          <w:sz w:val="24"/>
        </w:rPr>
        <w:t>18</w:t>
      </w:r>
    </w:p>
    <w:p w14:paraId="6FEB19D6" w14:textId="77777777" w:rsidR="00446C3A" w:rsidRPr="007438C6" w:rsidRDefault="00446C3A" w:rsidP="00D52BE2">
      <w:pPr>
        <w:tabs>
          <w:tab w:val="left" w:pos="1985"/>
        </w:tabs>
        <w:jc w:val="both"/>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D52BE2">
      <w:pPr>
        <w:pStyle w:val="Heading1"/>
        <w:jc w:val="both"/>
      </w:pPr>
      <w:r w:rsidRPr="007438C6">
        <w:t>1</w:t>
      </w:r>
      <w:r w:rsidRPr="007438C6">
        <w:tab/>
        <w:t>Introduction</w:t>
      </w:r>
    </w:p>
    <w:p w14:paraId="2F0B5B19" w14:textId="77777777" w:rsidR="00643FD0" w:rsidRDefault="00643FD0" w:rsidP="00D52BE2">
      <w:pPr>
        <w:jc w:val="both"/>
      </w:pPr>
      <w:r>
        <w:t xml:space="preserve">The following WI objective has been agreed for Rel-18 NTN WI </w:t>
      </w:r>
      <w:r>
        <w:rPr>
          <w:rFonts w:cs="Arial"/>
        </w:rPr>
        <w:fldChar w:fldCharType="begin"/>
      </w:r>
      <w:r>
        <w:rPr>
          <w:rFonts w:cs="Arial"/>
        </w:rPr>
        <w:instrText xml:space="preserve"> REF _Ref109128637 \r \h  \* MERGEFORMAT </w:instrText>
      </w:r>
      <w:r>
        <w:rPr>
          <w:rFonts w:cs="Arial"/>
        </w:rPr>
      </w:r>
      <w:r>
        <w:rPr>
          <w:rFonts w:cs="Arial"/>
        </w:rPr>
        <w:fldChar w:fldCharType="separate"/>
      </w:r>
      <w:r>
        <w:rPr>
          <w:rFonts w:cs="Arial"/>
        </w:rPr>
        <w:t>[1]</w:t>
      </w:r>
      <w:r>
        <w:rPr>
          <w:rFonts w:cs="Arial"/>
        </w:rPr>
        <w:fldChar w:fldCharType="end"/>
      </w:r>
      <w:r>
        <w:t>:</w:t>
      </w:r>
    </w:p>
    <w:tbl>
      <w:tblPr>
        <w:tblStyle w:val="TableGrid"/>
        <w:tblW w:w="0" w:type="auto"/>
        <w:tblLook w:val="04A0" w:firstRow="1" w:lastRow="0" w:firstColumn="1" w:lastColumn="0" w:noHBand="0" w:noVBand="1"/>
      </w:tblPr>
      <w:tblGrid>
        <w:gridCol w:w="9631"/>
      </w:tblGrid>
      <w:tr w:rsidR="00643FD0" w14:paraId="43D21E88" w14:textId="77777777" w:rsidTr="00643FD0">
        <w:tc>
          <w:tcPr>
            <w:tcW w:w="9631" w:type="dxa"/>
            <w:tcBorders>
              <w:top w:val="single" w:sz="4" w:space="0" w:color="auto"/>
              <w:left w:val="single" w:sz="4" w:space="0" w:color="auto"/>
              <w:bottom w:val="single" w:sz="4" w:space="0" w:color="auto"/>
              <w:right w:val="single" w:sz="4" w:space="0" w:color="auto"/>
            </w:tcBorders>
            <w:hideMark/>
          </w:tcPr>
          <w:p w14:paraId="61B2A24D" w14:textId="77777777" w:rsidR="00643FD0" w:rsidRDefault="00643FD0" w:rsidP="00D52BE2">
            <w:pPr>
              <w:jc w:val="both"/>
              <w:rPr>
                <w:rFonts w:eastAsia="Calibri"/>
                <w:lang w:val="en-US" w:eastAsia="en-GB"/>
              </w:rPr>
            </w:pPr>
            <w:r>
              <w:rPr>
                <w:rFonts w:eastAsia="Calibri"/>
                <w:lang w:val="en-US" w:eastAsia="en-GB"/>
              </w:rPr>
              <w:t>4.1.4</w:t>
            </w:r>
            <w:r>
              <w:rPr>
                <w:lang w:val="en-US" w:eastAsia="en-GB"/>
              </w:rPr>
              <w:tab/>
            </w:r>
            <w:r>
              <w:rPr>
                <w:rFonts w:eastAsia="Calibri"/>
                <w:lang w:val="en-US" w:eastAsia="en-GB"/>
              </w:rPr>
              <w:t>NTN-TN and NTN-NTN mobility and service continuity enhancements</w:t>
            </w:r>
          </w:p>
          <w:p w14:paraId="1D09441C" w14:textId="77777777" w:rsidR="00643FD0" w:rsidRDefault="00643FD0" w:rsidP="00D52BE2">
            <w:pPr>
              <w:jc w:val="both"/>
              <w:rPr>
                <w:rFonts w:eastAsia="Calibri"/>
                <w:lang w:val="en-US" w:eastAsia="en-GB"/>
              </w:rPr>
            </w:pPr>
            <w:r>
              <w:rPr>
                <w:rFonts w:eastAsia="Calibri"/>
                <w:lang w:val="en-US" w:eastAsia="en-GB"/>
              </w:rPr>
              <w:t>This work considers existing methods from NR TN as well as outcome of Rel-17 NR NTN WI outcome as baseline for NTN-TN mobility.</w:t>
            </w:r>
          </w:p>
          <w:p w14:paraId="07869B60" w14:textId="77777777" w:rsidR="00643FD0" w:rsidRDefault="00643FD0" w:rsidP="00D52BE2">
            <w:pPr>
              <w:jc w:val="both"/>
              <w:rPr>
                <w:rFonts w:eastAsia="Calibri"/>
                <w:lang w:val="en-US" w:eastAsia="en-GB"/>
              </w:rPr>
            </w:pPr>
            <w:r>
              <w:rPr>
                <w:rFonts w:eastAsia="Calibri"/>
                <w:lang w:val="en-US" w:eastAsia="en-GB"/>
              </w:rPr>
              <w:t xml:space="preserve"> Specify NTN-TN and NTN-NTN measurement/mobility and service continuity enhancements [RAN</w:t>
            </w:r>
            <w:proofErr w:type="gramStart"/>
            <w:r>
              <w:rPr>
                <w:rFonts w:eastAsia="Calibri"/>
                <w:lang w:val="en-US" w:eastAsia="en-GB"/>
              </w:rPr>
              <w:t>2,RAN</w:t>
            </w:r>
            <w:proofErr w:type="gramEnd"/>
            <w:r>
              <w:rPr>
                <w:rFonts w:eastAsia="Calibri"/>
                <w:lang w:val="en-US" w:eastAsia="en-GB"/>
              </w:rPr>
              <w:t>3,RAN4]</w:t>
            </w:r>
          </w:p>
          <w:p w14:paraId="52036400" w14:textId="77777777" w:rsidR="00643FD0" w:rsidRDefault="00643FD0" w:rsidP="00D52BE2">
            <w:pPr>
              <w:pStyle w:val="ListParagraph"/>
              <w:numPr>
                <w:ilvl w:val="1"/>
                <w:numId w:val="15"/>
              </w:numPr>
              <w:jc w:val="both"/>
              <w:rPr>
                <w:lang w:val="en-US" w:eastAsia="en-GB"/>
              </w:rPr>
            </w:pPr>
            <w:r>
              <w:rPr>
                <w:rFonts w:eastAsia="Calibri"/>
                <w:lang w:val="en-US" w:eastAsia="en-GB"/>
              </w:rPr>
              <w:t>For NTN-NTN mobility, specify cell reselection enhancements for earth moving cell, the timing based and location-based cell reselection for quasi-earth fixed cell in Rel-17 can be considered as the starting point. [RAN2, RAN3, RAN4]</w:t>
            </w:r>
          </w:p>
          <w:p w14:paraId="672041B1" w14:textId="77777777" w:rsidR="00643FD0" w:rsidRDefault="00643FD0" w:rsidP="00D52BE2">
            <w:pPr>
              <w:pStyle w:val="ListParagraph"/>
              <w:numPr>
                <w:ilvl w:val="1"/>
                <w:numId w:val="15"/>
              </w:numPr>
              <w:jc w:val="both"/>
              <w:rPr>
                <w:lang w:val="en-US" w:eastAsia="en-GB"/>
              </w:rPr>
            </w:pPr>
            <w:r>
              <w:rPr>
                <w:rFonts w:eastAsia="Calibri"/>
                <w:lang w:val="en-US" w:eastAsia="en-GB"/>
              </w:rPr>
              <w:t xml:space="preserve">Specify NTN-NTN handover enhancement for RRC_CONNECTED UEs in the quasi-earth-fixed cell and earth-moving cell to reduce the </w:t>
            </w:r>
            <w:proofErr w:type="spellStart"/>
            <w:r>
              <w:rPr>
                <w:rFonts w:eastAsia="Calibri"/>
                <w:lang w:val="en-US" w:eastAsia="en-GB"/>
              </w:rPr>
              <w:t>signalling</w:t>
            </w:r>
            <w:proofErr w:type="spellEnd"/>
            <w:r>
              <w:rPr>
                <w:rFonts w:eastAsia="Calibri"/>
                <w:lang w:val="en-US" w:eastAsia="en-GB"/>
              </w:rPr>
              <w:t xml:space="preserve"> overhead. [RAN2, RAN3]</w:t>
            </w:r>
          </w:p>
          <w:p w14:paraId="5B852081" w14:textId="77777777" w:rsidR="00643FD0" w:rsidRDefault="00643FD0" w:rsidP="00D52BE2">
            <w:pPr>
              <w:pStyle w:val="ListParagraph"/>
              <w:numPr>
                <w:ilvl w:val="1"/>
                <w:numId w:val="15"/>
              </w:numPr>
              <w:jc w:val="both"/>
              <w:rPr>
                <w:lang w:val="en-US" w:eastAsia="en-GB"/>
              </w:rPr>
            </w:pPr>
            <w:r>
              <w:rPr>
                <w:rFonts w:eastAsia="Calibri"/>
                <w:lang w:val="en-US" w:eastAsia="en-GB"/>
              </w:rPr>
              <w:t>Specify cell reselection enhancements for RRC_IDLE/INACTIVE UEs to reduce UE power consumption (NTN-TN mobility is prioritized). [RAN2, RAN3, RAN4]</w:t>
            </w:r>
          </w:p>
          <w:p w14:paraId="1D3CE2B6" w14:textId="77777777" w:rsidR="00643FD0" w:rsidRDefault="00643FD0" w:rsidP="00D52BE2">
            <w:pPr>
              <w:pStyle w:val="ListParagraph"/>
              <w:numPr>
                <w:ilvl w:val="1"/>
                <w:numId w:val="15"/>
              </w:numPr>
              <w:jc w:val="both"/>
              <w:rPr>
                <w:lang w:eastAsia="en-GB"/>
              </w:rPr>
            </w:pPr>
            <w:r>
              <w:rPr>
                <w:rFonts w:eastAsia="Calibri"/>
                <w:lang w:val="en-US" w:eastAsia="en-GB"/>
              </w:rPr>
              <w:t xml:space="preserve">Study and, if needed, specify enhancement to </w:t>
            </w:r>
            <w:proofErr w:type="spellStart"/>
            <w:r>
              <w:rPr>
                <w:rFonts w:eastAsia="Calibri"/>
                <w:lang w:val="en-US" w:eastAsia="en-GB"/>
              </w:rPr>
              <w:t>Xn</w:t>
            </w:r>
            <w:proofErr w:type="spellEnd"/>
            <w:r>
              <w:rPr>
                <w:rFonts w:eastAsia="Calibri"/>
                <w:lang w:val="en-US" w:eastAsia="en-GB"/>
              </w:rPr>
              <w:t xml:space="preserve">[/NG] </w:t>
            </w:r>
            <w:proofErr w:type="spellStart"/>
            <w:r>
              <w:rPr>
                <w:rFonts w:eastAsia="Calibri"/>
                <w:lang w:val="en-US" w:eastAsia="en-GB"/>
              </w:rPr>
              <w:t>signalling</w:t>
            </w:r>
            <w:proofErr w:type="spellEnd"/>
            <w:r>
              <w:rPr>
                <w:rFonts w:eastAsia="Calibri"/>
                <w:lang w:val="en-US" w:eastAsia="en-GB"/>
              </w:rPr>
              <w:t xml:space="preserve"> to support feeder link switch-over, CHO, </w:t>
            </w:r>
            <w:proofErr w:type="gramStart"/>
            <w:r>
              <w:rPr>
                <w:rFonts w:eastAsia="Calibri"/>
                <w:lang w:val="en-US" w:eastAsia="en-GB"/>
              </w:rPr>
              <w:t>e.g.</w:t>
            </w:r>
            <w:proofErr w:type="gramEnd"/>
            <w:r>
              <w:rPr>
                <w:rFonts w:eastAsia="Calibri"/>
                <w:lang w:val="en-US" w:eastAsia="en-GB"/>
              </w:rPr>
              <w:t xml:space="preserve"> exchange of necessary information between </w:t>
            </w:r>
            <w:proofErr w:type="spellStart"/>
            <w:r>
              <w:rPr>
                <w:rFonts w:eastAsia="Calibri"/>
                <w:lang w:val="en-US" w:eastAsia="en-GB"/>
              </w:rPr>
              <w:t>gNBs</w:t>
            </w:r>
            <w:proofErr w:type="spellEnd"/>
            <w:r>
              <w:rPr>
                <w:rFonts w:eastAsia="Calibri"/>
                <w:lang w:val="en-US" w:eastAsia="en-GB"/>
              </w:rPr>
              <w:t>. [RAN3]</w:t>
            </w:r>
          </w:p>
        </w:tc>
      </w:tr>
    </w:tbl>
    <w:p w14:paraId="53A24C17" w14:textId="1AE2D0C2" w:rsidR="00DA40B5" w:rsidRDefault="00881DE2" w:rsidP="00DA40B5">
      <w:pPr>
        <w:jc w:val="both"/>
        <w:rPr>
          <w:lang w:val="en-US"/>
        </w:rPr>
      </w:pPr>
      <w:r>
        <w:rPr>
          <w:lang w:val="en-US"/>
        </w:rPr>
        <w:br/>
      </w:r>
      <w:r w:rsidR="00DA40B5">
        <w:rPr>
          <w:lang w:val="en-US"/>
        </w:rPr>
        <w:t xml:space="preserve">The following </w:t>
      </w:r>
      <w:r w:rsidR="0049196F">
        <w:rPr>
          <w:lang w:val="en-US"/>
        </w:rPr>
        <w:t xml:space="preserve">associated </w:t>
      </w:r>
      <w:r w:rsidR="00DA40B5">
        <w:rPr>
          <w:lang w:val="en-US"/>
        </w:rPr>
        <w:t>agreements were made at RAN</w:t>
      </w:r>
      <w:r w:rsidR="0049196F">
        <w:rPr>
          <w:lang w:val="en-US"/>
        </w:rPr>
        <w:t>2</w:t>
      </w:r>
      <w:r w:rsidR="00DA40B5">
        <w:rPr>
          <w:lang w:val="en-US"/>
        </w:rPr>
        <w:t>#121</w:t>
      </w:r>
      <w:r w:rsidR="0049196F">
        <w:rPr>
          <w:lang w:val="en-US"/>
        </w:rPr>
        <w:t xml:space="preserve"> </w:t>
      </w:r>
      <w:r w:rsidR="00F610C1">
        <w:rPr>
          <w:lang w:val="en-US"/>
        </w:rPr>
        <w:fldChar w:fldCharType="begin"/>
      </w:r>
      <w:r w:rsidR="00F610C1">
        <w:rPr>
          <w:lang w:val="en-US"/>
        </w:rPr>
        <w:instrText xml:space="preserve"> REF _Ref131150281 \r \h </w:instrText>
      </w:r>
      <w:r w:rsidR="00F610C1">
        <w:rPr>
          <w:lang w:val="en-US"/>
        </w:rPr>
      </w:r>
      <w:r w:rsidR="00F610C1">
        <w:rPr>
          <w:lang w:val="en-US"/>
        </w:rPr>
        <w:fldChar w:fldCharType="separate"/>
      </w:r>
      <w:r w:rsidR="00F610C1">
        <w:rPr>
          <w:lang w:val="en-US"/>
        </w:rPr>
        <w:t>[2]</w:t>
      </w:r>
      <w:r w:rsidR="00F610C1">
        <w:rPr>
          <w:lang w:val="en-US"/>
        </w:rPr>
        <w:fldChar w:fldCharType="end"/>
      </w:r>
      <w:r w:rsidR="00DA40B5">
        <w:rPr>
          <w:lang w:val="en-US"/>
        </w:rPr>
        <w:t>:</w:t>
      </w:r>
    </w:p>
    <w:tbl>
      <w:tblPr>
        <w:tblStyle w:val="TableGrid"/>
        <w:tblW w:w="9634" w:type="dxa"/>
        <w:tblLook w:val="04A0" w:firstRow="1" w:lastRow="0" w:firstColumn="1" w:lastColumn="0" w:noHBand="0" w:noVBand="1"/>
      </w:tblPr>
      <w:tblGrid>
        <w:gridCol w:w="9634"/>
      </w:tblGrid>
      <w:tr w:rsidR="007256F7" w14:paraId="7698F8F9" w14:textId="77777777" w:rsidTr="008B492B">
        <w:tc>
          <w:tcPr>
            <w:tcW w:w="9634" w:type="dxa"/>
          </w:tcPr>
          <w:p w14:paraId="71781A31" w14:textId="77777777" w:rsidR="008B492B" w:rsidRPr="008B492B" w:rsidRDefault="008B492B" w:rsidP="008B492B">
            <w:pPr>
              <w:rPr>
                <w:lang w:val="en-US"/>
              </w:rPr>
            </w:pPr>
            <w:r w:rsidRPr="008B492B">
              <w:rPr>
                <w:lang w:val="en-US"/>
              </w:rPr>
              <w:t>Agreements:</w:t>
            </w:r>
          </w:p>
          <w:p w14:paraId="2791BDDE" w14:textId="77777777" w:rsidR="008B492B" w:rsidRPr="008B492B" w:rsidRDefault="008B492B" w:rsidP="008B492B">
            <w:pPr>
              <w:rPr>
                <w:lang w:val="en-US"/>
              </w:rPr>
            </w:pPr>
            <w:r w:rsidRPr="008B492B">
              <w:rPr>
                <w:lang w:val="en-US"/>
              </w:rPr>
              <w:t>1.</w:t>
            </w:r>
            <w:r w:rsidRPr="008B492B">
              <w:rPr>
                <w:lang w:val="en-US"/>
              </w:rPr>
              <w:tab/>
              <w:t>TN coverage area information will be associated to the frequency information.</w:t>
            </w:r>
          </w:p>
          <w:p w14:paraId="1D2DAF10" w14:textId="77777777" w:rsidR="008B492B" w:rsidRPr="008B492B" w:rsidRDefault="008B492B" w:rsidP="008B492B">
            <w:pPr>
              <w:rPr>
                <w:lang w:val="en-US"/>
              </w:rPr>
            </w:pPr>
            <w:r w:rsidRPr="008B492B">
              <w:rPr>
                <w:lang w:val="en-US"/>
              </w:rPr>
              <w:t>2.</w:t>
            </w:r>
            <w:r w:rsidRPr="008B492B">
              <w:rPr>
                <w:lang w:val="en-US"/>
              </w:rPr>
              <w:tab/>
              <w:t xml:space="preserve">RAN2 adopts explicit description of geographical TN area, and focuses on the following options for further discussion, taking the </w:t>
            </w:r>
            <w:proofErr w:type="spellStart"/>
            <w:r w:rsidRPr="008B492B">
              <w:rPr>
                <w:lang w:val="en-US"/>
              </w:rPr>
              <w:t>signalling</w:t>
            </w:r>
            <w:proofErr w:type="spellEnd"/>
            <w:r w:rsidRPr="008B492B">
              <w:rPr>
                <w:lang w:val="en-US"/>
              </w:rPr>
              <w:t xml:space="preserve"> overhead into account (FFS on the accuracy of the information):</w:t>
            </w:r>
          </w:p>
          <w:p w14:paraId="7CA1C23D" w14:textId="77777777" w:rsidR="008B492B" w:rsidRPr="008B492B" w:rsidRDefault="008B492B" w:rsidP="008B492B">
            <w:pPr>
              <w:rPr>
                <w:lang w:val="en-US"/>
              </w:rPr>
            </w:pPr>
            <w:r w:rsidRPr="008B492B">
              <w:rPr>
                <w:lang w:val="en-US"/>
              </w:rPr>
              <w:tab/>
              <w:t>Option 1: The corresponding geographical area information is provided by network with location coordinates of area center and radius.</w:t>
            </w:r>
          </w:p>
          <w:p w14:paraId="64A59EA9" w14:textId="77777777" w:rsidR="008B492B" w:rsidRPr="008B492B" w:rsidRDefault="008B492B" w:rsidP="008B492B">
            <w:pPr>
              <w:rPr>
                <w:lang w:val="en-US"/>
              </w:rPr>
            </w:pPr>
            <w:r w:rsidRPr="008B492B">
              <w:rPr>
                <w:lang w:val="en-US"/>
              </w:rPr>
              <w:tab/>
              <w:t>Option 2: a boundary line is provided by network in the format of a list of location coordinates, additionally an indication can be used to indicate which side is the TN side</w:t>
            </w:r>
          </w:p>
          <w:p w14:paraId="519C5C97" w14:textId="40C4A704" w:rsidR="007256F7" w:rsidRDefault="008B492B" w:rsidP="008B492B">
            <w:pPr>
              <w:rPr>
                <w:lang w:val="en-US"/>
              </w:rPr>
            </w:pPr>
            <w:r w:rsidRPr="008B492B">
              <w:rPr>
                <w:lang w:val="en-US"/>
              </w:rPr>
              <w:tab/>
              <w:t>Option 6: for each TN area, a list of locations is provided by network, and the corresponding close shape could be illustrated by a polygon connecting these points within the list.</w:t>
            </w:r>
          </w:p>
        </w:tc>
      </w:tr>
    </w:tbl>
    <w:p w14:paraId="7261BBB6" w14:textId="77777777" w:rsidR="00DB0277" w:rsidRDefault="00DB0277" w:rsidP="00DB0277">
      <w:pPr>
        <w:rPr>
          <w:lang w:val="en-US"/>
        </w:rPr>
      </w:pPr>
    </w:p>
    <w:tbl>
      <w:tblPr>
        <w:tblStyle w:val="TableGrid"/>
        <w:tblW w:w="9634" w:type="dxa"/>
        <w:tblLook w:val="04A0" w:firstRow="1" w:lastRow="0" w:firstColumn="1" w:lastColumn="0" w:noHBand="0" w:noVBand="1"/>
      </w:tblPr>
      <w:tblGrid>
        <w:gridCol w:w="9634"/>
      </w:tblGrid>
      <w:tr w:rsidR="00DB0277" w14:paraId="58977975" w14:textId="77777777" w:rsidTr="008B492B">
        <w:tc>
          <w:tcPr>
            <w:tcW w:w="9634" w:type="dxa"/>
          </w:tcPr>
          <w:p w14:paraId="4E2B0E70" w14:textId="77777777" w:rsidR="008B492B" w:rsidRPr="008B492B" w:rsidRDefault="008B492B" w:rsidP="008B492B">
            <w:pPr>
              <w:rPr>
                <w:lang w:val="en-US"/>
              </w:rPr>
            </w:pPr>
            <w:r w:rsidRPr="008B492B">
              <w:rPr>
                <w:lang w:val="en-US"/>
              </w:rPr>
              <w:t>Agreements:</w:t>
            </w:r>
          </w:p>
          <w:p w14:paraId="64D5C1BE" w14:textId="77777777" w:rsidR="008B492B" w:rsidRPr="008B492B" w:rsidRDefault="008B492B" w:rsidP="008B492B">
            <w:pPr>
              <w:rPr>
                <w:lang w:val="en-US"/>
              </w:rPr>
            </w:pPr>
            <w:r w:rsidRPr="008B492B">
              <w:rPr>
                <w:lang w:val="en-US"/>
              </w:rPr>
              <w:t>1.</w:t>
            </w:r>
            <w:r w:rsidRPr="008B492B">
              <w:rPr>
                <w:lang w:val="en-US"/>
              </w:rPr>
              <w:tab/>
              <w:t xml:space="preserve">As a baseline, broadcast </w:t>
            </w:r>
            <w:proofErr w:type="spellStart"/>
            <w:r w:rsidRPr="008B492B">
              <w:rPr>
                <w:lang w:val="en-US"/>
              </w:rPr>
              <w:t>signalling</w:t>
            </w:r>
            <w:proofErr w:type="spellEnd"/>
            <w:r w:rsidRPr="008B492B">
              <w:rPr>
                <w:lang w:val="en-US"/>
              </w:rPr>
              <w:t xml:space="preserve"> is used to provide the information on the TN coverage area for UEs supporting NTN.</w:t>
            </w:r>
          </w:p>
          <w:p w14:paraId="1F1A06EC" w14:textId="77777777" w:rsidR="00DB0277" w:rsidRDefault="008B492B" w:rsidP="008B492B">
            <w:pPr>
              <w:rPr>
                <w:lang w:val="en-US"/>
              </w:rPr>
            </w:pPr>
            <w:r w:rsidRPr="008B492B">
              <w:rPr>
                <w:lang w:val="en-US"/>
              </w:rPr>
              <w:lastRenderedPageBreak/>
              <w:t>2.</w:t>
            </w:r>
            <w:r w:rsidRPr="008B492B">
              <w:rPr>
                <w:lang w:val="en-US"/>
              </w:rPr>
              <w:tab/>
              <w:t xml:space="preserve">Also based on the </w:t>
            </w:r>
            <w:proofErr w:type="spellStart"/>
            <w:r w:rsidRPr="008B492B">
              <w:rPr>
                <w:lang w:val="en-US"/>
              </w:rPr>
              <w:t>signalling</w:t>
            </w:r>
            <w:proofErr w:type="spellEnd"/>
            <w:r w:rsidRPr="008B492B">
              <w:rPr>
                <w:lang w:val="en-US"/>
              </w:rPr>
              <w:t xml:space="preserve"> overhead of the broadcast solution, RAN2 will further consider the option that UE-specific update </w:t>
            </w:r>
            <w:proofErr w:type="gramStart"/>
            <w:r w:rsidRPr="008B492B">
              <w:rPr>
                <w:lang w:val="en-US"/>
              </w:rPr>
              <w:t>can be optionally be</w:t>
            </w:r>
            <w:proofErr w:type="gramEnd"/>
            <w:r w:rsidRPr="008B492B">
              <w:rPr>
                <w:lang w:val="en-US"/>
              </w:rPr>
              <w:t xml:space="preserve"> provided via dedicated </w:t>
            </w:r>
            <w:proofErr w:type="spellStart"/>
            <w:r w:rsidRPr="008B492B">
              <w:rPr>
                <w:lang w:val="en-US"/>
              </w:rPr>
              <w:t>signalling</w:t>
            </w:r>
            <w:proofErr w:type="spellEnd"/>
            <w:r w:rsidRPr="008B492B">
              <w:rPr>
                <w:lang w:val="en-US"/>
              </w:rPr>
              <w:t>, overriding the broadcast configuration (FFS if via RRC or higher layers. FFS on the validity time, if provided by RRC)</w:t>
            </w:r>
          </w:p>
          <w:p w14:paraId="69AACD6B" w14:textId="61D1DE9A" w:rsidR="00106490" w:rsidRDefault="00106490" w:rsidP="008B492B">
            <w:pPr>
              <w:rPr>
                <w:lang w:val="en-US"/>
              </w:rPr>
            </w:pPr>
            <w:r>
              <w:rPr>
                <w:lang w:val="en-US"/>
              </w:rPr>
              <w:t>3</w:t>
            </w:r>
            <w:r w:rsidRPr="00106490">
              <w:rPr>
                <w:lang w:val="en-US"/>
              </w:rPr>
              <w:t>.</w:t>
            </w:r>
            <w:r w:rsidRPr="00106490">
              <w:rPr>
                <w:lang w:val="en-US"/>
              </w:rPr>
              <w:tab/>
              <w:t>We don’t introduce additional cell reselection prioritization rules for NTN vs TN in Rel-18 (</w:t>
            </w:r>
            <w:proofErr w:type="gramStart"/>
            <w:r w:rsidRPr="00106490">
              <w:rPr>
                <w:lang w:val="en-US"/>
              </w:rPr>
              <w:t>e.g.</w:t>
            </w:r>
            <w:proofErr w:type="gramEnd"/>
            <w:r w:rsidRPr="00106490">
              <w:rPr>
                <w:lang w:val="en-US"/>
              </w:rPr>
              <w:t xml:space="preserve"> per service type, per mobility state, or per UE type) on top of what specified in Rel-17</w:t>
            </w:r>
          </w:p>
        </w:tc>
      </w:tr>
    </w:tbl>
    <w:p w14:paraId="43673061" w14:textId="1A13945E" w:rsidR="003F01B3" w:rsidRDefault="00881DE2" w:rsidP="00D52BE2">
      <w:pPr>
        <w:jc w:val="both"/>
        <w:rPr>
          <w:lang w:val="en-US"/>
        </w:rPr>
      </w:pPr>
      <w:r>
        <w:rPr>
          <w:lang w:val="en-US"/>
        </w:rPr>
        <w:lastRenderedPageBreak/>
        <w:br/>
      </w:r>
      <w:r w:rsidR="00E1535A">
        <w:rPr>
          <w:lang w:val="en-US"/>
        </w:rPr>
        <w:t>In this paper we share more thoughts on</w:t>
      </w:r>
      <w:r w:rsidR="008B492B">
        <w:rPr>
          <w:lang w:val="en-US"/>
        </w:rPr>
        <w:t xml:space="preserve"> NTN-TN </w:t>
      </w:r>
      <w:r w:rsidR="00E1535A">
        <w:rPr>
          <w:lang w:val="en-US"/>
        </w:rPr>
        <w:t>IDLE mode reselections.</w:t>
      </w:r>
    </w:p>
    <w:p w14:paraId="1E78CAE6" w14:textId="5A0B4E21" w:rsidR="003F01B3" w:rsidRDefault="0025490B" w:rsidP="003F01B3">
      <w:pPr>
        <w:pStyle w:val="Heading1"/>
        <w:jc w:val="both"/>
      </w:pPr>
      <w:r>
        <w:t>2</w:t>
      </w:r>
      <w:r w:rsidR="003F01B3" w:rsidRPr="007438C6">
        <w:tab/>
      </w:r>
      <w:r w:rsidR="003F0592">
        <w:t xml:space="preserve">TN </w:t>
      </w:r>
      <w:r w:rsidR="00892AE4">
        <w:t>C</w:t>
      </w:r>
      <w:r w:rsidR="003F0592">
        <w:t xml:space="preserve">overage </w:t>
      </w:r>
      <w:r w:rsidR="00892AE4">
        <w:t>A</w:t>
      </w:r>
      <w:r w:rsidR="003F0592">
        <w:t>rea</w:t>
      </w:r>
    </w:p>
    <w:p w14:paraId="43FEE44F" w14:textId="7EC12D83" w:rsidR="0059050F" w:rsidRPr="0059050F" w:rsidRDefault="0059050F" w:rsidP="0059050F">
      <w:pPr>
        <w:pStyle w:val="Heading2"/>
      </w:pPr>
      <w:r>
        <w:t xml:space="preserve">2.1 </w:t>
      </w:r>
      <w:r>
        <w:tab/>
        <w:t>Definition o</w:t>
      </w:r>
      <w:r w:rsidR="00892AE4">
        <w:t>f</w:t>
      </w:r>
      <w:r>
        <w:t xml:space="preserve"> TN coverage area</w:t>
      </w:r>
    </w:p>
    <w:p w14:paraId="774006C4" w14:textId="025A2EFB" w:rsidR="003F0592" w:rsidRDefault="003F0592" w:rsidP="008B492B">
      <w:pPr>
        <w:jc w:val="both"/>
        <w:rPr>
          <w:lang w:val="en-US"/>
        </w:rPr>
      </w:pPr>
      <w:r>
        <w:rPr>
          <w:lang w:val="en-US"/>
        </w:rPr>
        <w:t>As concluded during RAN2#121, TN coverage area will be defined in one of the following ways</w:t>
      </w:r>
      <w:r w:rsidR="00E7126D">
        <w:rPr>
          <w:lang w:val="en-US"/>
        </w:rPr>
        <w:t xml:space="preserve"> </w:t>
      </w:r>
      <w:r w:rsidR="00E7126D">
        <w:rPr>
          <w:lang w:val="en-US"/>
        </w:rPr>
        <w:fldChar w:fldCharType="begin"/>
      </w:r>
      <w:r w:rsidR="00E7126D">
        <w:rPr>
          <w:lang w:val="en-US"/>
        </w:rPr>
        <w:instrText xml:space="preserve"> REF _Ref131150281 \r \h </w:instrText>
      </w:r>
      <w:r w:rsidR="00E7126D">
        <w:rPr>
          <w:lang w:val="en-US"/>
        </w:rPr>
      </w:r>
      <w:r w:rsidR="00E7126D">
        <w:rPr>
          <w:lang w:val="en-US"/>
        </w:rPr>
        <w:fldChar w:fldCharType="separate"/>
      </w:r>
      <w:r w:rsidR="00E7126D">
        <w:rPr>
          <w:lang w:val="en-US"/>
        </w:rPr>
        <w:t>[2]</w:t>
      </w:r>
      <w:r w:rsidR="00E7126D">
        <w:rPr>
          <w:lang w:val="en-US"/>
        </w:rPr>
        <w:fldChar w:fldCharType="end"/>
      </w:r>
      <w:r>
        <w:rPr>
          <w:lang w:val="en-US"/>
        </w:rPr>
        <w:t>:</w:t>
      </w:r>
    </w:p>
    <w:p w14:paraId="3EC56192" w14:textId="12F7C55D" w:rsidR="003F0592" w:rsidRPr="003F0592" w:rsidRDefault="003F0592" w:rsidP="003F0592">
      <w:pPr>
        <w:pStyle w:val="ListParagraph"/>
        <w:numPr>
          <w:ilvl w:val="0"/>
          <w:numId w:val="26"/>
        </w:numPr>
        <w:jc w:val="both"/>
        <w:rPr>
          <w:lang w:val="en-US"/>
        </w:rPr>
      </w:pPr>
      <w:r w:rsidRPr="003F0592">
        <w:rPr>
          <w:lang w:val="en-US"/>
        </w:rPr>
        <w:t>Option 1: The corresponding geographical area information is provided by network with location coordinates of area center and radius.</w:t>
      </w:r>
    </w:p>
    <w:p w14:paraId="353CE419" w14:textId="47606788" w:rsidR="003F0592" w:rsidRPr="003F0592" w:rsidRDefault="003F0592" w:rsidP="003F0592">
      <w:pPr>
        <w:pStyle w:val="ListParagraph"/>
        <w:numPr>
          <w:ilvl w:val="0"/>
          <w:numId w:val="26"/>
        </w:numPr>
        <w:jc w:val="both"/>
        <w:rPr>
          <w:lang w:val="en-US"/>
        </w:rPr>
      </w:pPr>
      <w:r w:rsidRPr="003F0592">
        <w:rPr>
          <w:lang w:val="en-US"/>
        </w:rPr>
        <w:t>Option 2: a boundary line is provided by network in the format of a list of location coordinates, additionally an indication can be used to indicate which side is the TN side</w:t>
      </w:r>
    </w:p>
    <w:p w14:paraId="207F00DD" w14:textId="2A0BF624" w:rsidR="003F0592" w:rsidRPr="003F0592" w:rsidRDefault="003F0592" w:rsidP="003F0592">
      <w:pPr>
        <w:pStyle w:val="ListParagraph"/>
        <w:numPr>
          <w:ilvl w:val="0"/>
          <w:numId w:val="26"/>
        </w:numPr>
        <w:jc w:val="both"/>
        <w:rPr>
          <w:lang w:val="en-US"/>
        </w:rPr>
      </w:pPr>
      <w:r w:rsidRPr="003F0592">
        <w:rPr>
          <w:lang w:val="en-US"/>
        </w:rPr>
        <w:t>Option 6: for each TN area, a list of locations is provided by network, and the corresponding close shape could be illustrated by a polygon connecting these points within the list.</w:t>
      </w:r>
    </w:p>
    <w:p w14:paraId="0EB435B4" w14:textId="713589F2" w:rsidR="003F0592" w:rsidRDefault="003F0592" w:rsidP="008B492B">
      <w:pPr>
        <w:jc w:val="both"/>
      </w:pPr>
      <w:r>
        <w:t xml:space="preserve">For the UE it is relevant to know if it is (potentially) in range of a TN to start measurements. It is irrelevant, where exactly this cell is, as the exact TN coverage area depends on different factors. Therefore, it is sufficient to provide the coverage on the level of a rough area rather than single </w:t>
      </w:r>
      <w:r w:rsidRPr="00C5158F">
        <w:t>cells</w:t>
      </w:r>
      <w:r>
        <w:t>.</w:t>
      </w:r>
    </w:p>
    <w:p w14:paraId="69CFB194" w14:textId="77777777" w:rsidR="003F0592" w:rsidRPr="00A35CB7" w:rsidRDefault="003F0592" w:rsidP="003F0592">
      <w:pPr>
        <w:jc w:val="both"/>
        <w:rPr>
          <w:b/>
          <w:bCs/>
        </w:rPr>
      </w:pPr>
      <w:r w:rsidRPr="008B2F7D">
        <w:rPr>
          <w:b/>
          <w:bCs/>
        </w:rPr>
        <w:t xml:space="preserve">Observation </w:t>
      </w:r>
      <w:r w:rsidRPr="003D1188">
        <w:rPr>
          <w:b/>
          <w:bCs/>
        </w:rPr>
        <w:t>1</w:t>
      </w:r>
      <w:r w:rsidRPr="008B2F7D">
        <w:rPr>
          <w:b/>
        </w:rPr>
        <w:t>:</w:t>
      </w:r>
      <w:r w:rsidRPr="00A35CB7">
        <w:rPr>
          <w:b/>
          <w:bCs/>
        </w:rPr>
        <w:t xml:space="preserve"> The UE needs to know if it is close to the TN but does not require the exact coverage area.</w:t>
      </w:r>
    </w:p>
    <w:p w14:paraId="2DF9F8EF" w14:textId="635925E3" w:rsidR="003F0592" w:rsidRDefault="00026806" w:rsidP="008B492B">
      <w:pPr>
        <w:jc w:val="both"/>
        <w:rPr>
          <w:lang w:val="en-US"/>
        </w:rPr>
      </w:pPr>
      <w:r>
        <w:rPr>
          <w:lang w:val="en-US"/>
        </w:rPr>
        <w:t xml:space="preserve">Furthermore, to make sure signaling the TN coverage details is not excessive in terms of the number of bits consumed, the definition shall be relatively simple. For example, it shall not </w:t>
      </w:r>
      <w:r w:rsidR="00AB56CC">
        <w:rPr>
          <w:lang w:val="en-US"/>
        </w:rPr>
        <w:t xml:space="preserve">require broadcasting multiple geolocation points per each TN coverage area. </w:t>
      </w:r>
    </w:p>
    <w:p w14:paraId="583E9CB8" w14:textId="78CAF6C6" w:rsidR="00AB56CC" w:rsidRDefault="00AB56CC" w:rsidP="008B492B">
      <w:pPr>
        <w:jc w:val="both"/>
        <w:rPr>
          <w:b/>
          <w:bCs/>
          <w:lang w:val="en-US"/>
        </w:rPr>
      </w:pPr>
      <w:r w:rsidRPr="00AB56CC">
        <w:rPr>
          <w:b/>
          <w:bCs/>
          <w:lang w:val="en-US"/>
        </w:rPr>
        <w:t xml:space="preserve">Observation 2: To avoid excessive signaling, a single TN coverage area does not require </w:t>
      </w:r>
      <w:r>
        <w:rPr>
          <w:b/>
          <w:bCs/>
          <w:lang w:val="en-US"/>
        </w:rPr>
        <w:t xml:space="preserve">broadcasting more than coordinates for a single geolocation. </w:t>
      </w:r>
    </w:p>
    <w:p w14:paraId="39D6963E" w14:textId="1AA0B9CD" w:rsidR="00AB56CC" w:rsidRDefault="00AB56CC" w:rsidP="008B492B">
      <w:pPr>
        <w:jc w:val="both"/>
        <w:rPr>
          <w:lang w:val="en-US"/>
        </w:rPr>
      </w:pPr>
      <w:r w:rsidRPr="00AB56CC">
        <w:rPr>
          <w:lang w:val="en-US"/>
        </w:rPr>
        <w:t xml:space="preserve">If we reuse the definition of </w:t>
      </w:r>
      <w:r w:rsidRPr="00AB56CC">
        <w:rPr>
          <w:i/>
          <w:iCs/>
          <w:lang w:val="en-US"/>
        </w:rPr>
        <w:t>Ellipsoid-Point</w:t>
      </w:r>
      <w:r>
        <w:rPr>
          <w:lang w:val="en-US"/>
        </w:rPr>
        <w:t xml:space="preserve"> </w:t>
      </w:r>
      <w:r>
        <w:rPr>
          <w:lang w:val="en-US"/>
        </w:rPr>
        <w:fldChar w:fldCharType="begin"/>
      </w:r>
      <w:r>
        <w:rPr>
          <w:lang w:val="en-US"/>
        </w:rPr>
        <w:instrText xml:space="preserve"> REF _Ref131434939 \r \h </w:instrText>
      </w:r>
      <w:r>
        <w:rPr>
          <w:lang w:val="en-US"/>
        </w:rPr>
      </w:r>
      <w:r>
        <w:rPr>
          <w:lang w:val="en-US"/>
        </w:rPr>
        <w:fldChar w:fldCharType="separate"/>
      </w:r>
      <w:r>
        <w:rPr>
          <w:lang w:val="en-US"/>
        </w:rPr>
        <w:t>[4]</w:t>
      </w:r>
      <w:r>
        <w:rPr>
          <w:lang w:val="en-US"/>
        </w:rPr>
        <w:fldChar w:fldCharType="end"/>
      </w:r>
      <w:r>
        <w:rPr>
          <w:lang w:val="en-US"/>
        </w:rPr>
        <w:t>, then latitude and longitude require jointly 48 bits</w:t>
      </w:r>
      <w:r w:rsidR="00E7126D">
        <w:rPr>
          <w:lang w:val="en-US"/>
        </w:rPr>
        <w:t xml:space="preserve"> for a single reference point (representing the TN area’s center)</w:t>
      </w:r>
      <w:r>
        <w:rPr>
          <w:lang w:val="en-US"/>
        </w:rPr>
        <w:t>.</w:t>
      </w:r>
      <w:r w:rsidR="00EA4B21">
        <w:rPr>
          <w:lang w:val="en-US"/>
        </w:rPr>
        <w:t xml:space="preserve"> The minimum radius probably does not have to be smaller than ~1 kilometer, whereas the maximum radius could be defined such that it allows to approximately cover the area of a large city</w:t>
      </w:r>
      <w:r w:rsidR="00BD19FE">
        <w:rPr>
          <w:lang w:val="en-US"/>
        </w:rPr>
        <w:t xml:space="preserve"> and its suburbs</w:t>
      </w:r>
      <w:r w:rsidR="00EA4B21">
        <w:rPr>
          <w:lang w:val="en-US"/>
        </w:rPr>
        <w:t xml:space="preserve">. Thus, let’s say it is equal to 50 km. </w:t>
      </w:r>
      <w:r w:rsidR="00BD19FE">
        <w:rPr>
          <w:lang w:val="en-US"/>
        </w:rPr>
        <w:t>If we assume 1 km granularity for defining the cell radius, then we need 6 bits to represent 50 different values of the radius. Jointly with latitude and longitude, we need approximately 54 bits to signal a single TN coverage area</w:t>
      </w:r>
    </w:p>
    <w:p w14:paraId="2304A944" w14:textId="3A055A04" w:rsidR="00BD19FE" w:rsidRPr="00367B3B" w:rsidRDefault="00BD19FE" w:rsidP="008B492B">
      <w:pPr>
        <w:jc w:val="both"/>
        <w:rPr>
          <w:b/>
          <w:bCs/>
          <w:lang w:val="en-US"/>
        </w:rPr>
      </w:pPr>
      <w:r w:rsidRPr="00367B3B">
        <w:rPr>
          <w:b/>
          <w:bCs/>
          <w:lang w:val="en-US"/>
        </w:rPr>
        <w:t>Observation 3:</w:t>
      </w:r>
      <w:r w:rsidR="00367B3B" w:rsidRPr="00367B3B">
        <w:rPr>
          <w:b/>
          <w:bCs/>
          <w:lang w:val="en-US"/>
        </w:rPr>
        <w:t xml:space="preserve"> If TN coverage is represented according to Option 1, TN area’s center is represented using Ellipsoid-Point, and the minimum and maximum radius is equal to 1 km and 50 km, respectively then 54 bits are required to signal a single TN coverage area.</w:t>
      </w:r>
    </w:p>
    <w:p w14:paraId="17AE6E62" w14:textId="5F104528" w:rsidR="00BD19FE" w:rsidRDefault="00BD19FE" w:rsidP="008B492B">
      <w:pPr>
        <w:jc w:val="both"/>
        <w:rPr>
          <w:lang w:val="en-US"/>
        </w:rPr>
      </w:pPr>
      <w:r>
        <w:rPr>
          <w:lang w:val="en-US"/>
        </w:rPr>
        <w:t>The other options listed above are clearly more demanding when it comes to bit consumption.</w:t>
      </w:r>
    </w:p>
    <w:p w14:paraId="0E3A077F" w14:textId="02613755" w:rsidR="00BD19FE" w:rsidRPr="00367B3B" w:rsidRDefault="00BD19FE" w:rsidP="008B492B">
      <w:pPr>
        <w:jc w:val="both"/>
        <w:rPr>
          <w:b/>
          <w:bCs/>
          <w:lang w:val="en-US"/>
        </w:rPr>
      </w:pPr>
      <w:r w:rsidRPr="00367B3B">
        <w:rPr>
          <w:b/>
          <w:bCs/>
          <w:lang w:val="en-US"/>
        </w:rPr>
        <w:t xml:space="preserve">Observation 4: </w:t>
      </w:r>
      <w:r w:rsidR="00367B3B" w:rsidRPr="00367B3B">
        <w:rPr>
          <w:b/>
          <w:bCs/>
          <w:lang w:val="en-US"/>
        </w:rPr>
        <w:t>Other options (</w:t>
      </w:r>
      <w:proofErr w:type="gramStart"/>
      <w:r w:rsidR="00367B3B" w:rsidRPr="00367B3B">
        <w:rPr>
          <w:b/>
          <w:bCs/>
          <w:lang w:val="en-US"/>
        </w:rPr>
        <w:t>i.e.</w:t>
      </w:r>
      <w:proofErr w:type="gramEnd"/>
      <w:r w:rsidR="00367B3B" w:rsidRPr="00367B3B">
        <w:rPr>
          <w:b/>
          <w:bCs/>
          <w:lang w:val="en-US"/>
        </w:rPr>
        <w:t xml:space="preserve"> option 2 and option 6) are less efficient when bit consumption is considered.</w:t>
      </w:r>
    </w:p>
    <w:p w14:paraId="5F24F6F9" w14:textId="0937E03B" w:rsidR="00BD19FE" w:rsidRDefault="00BD19FE" w:rsidP="008B492B">
      <w:pPr>
        <w:jc w:val="both"/>
        <w:rPr>
          <w:lang w:val="en-US"/>
        </w:rPr>
      </w:pPr>
      <w:r>
        <w:rPr>
          <w:lang w:val="en-US"/>
        </w:rPr>
        <w:t>Thus, we would like to propose the following:</w:t>
      </w:r>
    </w:p>
    <w:p w14:paraId="3FA1F5C6" w14:textId="0439A55B" w:rsidR="00BD19FE" w:rsidRPr="00367B3B" w:rsidRDefault="00BD19FE" w:rsidP="008B492B">
      <w:pPr>
        <w:jc w:val="both"/>
        <w:rPr>
          <w:b/>
          <w:bCs/>
          <w:lang w:val="en-US"/>
        </w:rPr>
      </w:pPr>
      <w:r w:rsidRPr="00367B3B">
        <w:rPr>
          <w:b/>
          <w:bCs/>
          <w:lang w:val="en-US"/>
        </w:rPr>
        <w:t xml:space="preserve">Proposal 1: </w:t>
      </w:r>
      <w:r w:rsidR="00367B3B" w:rsidRPr="00367B3B">
        <w:rPr>
          <w:b/>
          <w:bCs/>
          <w:lang w:val="en-US"/>
        </w:rPr>
        <w:t>For sig</w:t>
      </w:r>
      <w:r w:rsidR="00113FDE">
        <w:rPr>
          <w:b/>
          <w:bCs/>
          <w:lang w:val="en-US"/>
        </w:rPr>
        <w:t>n</w:t>
      </w:r>
      <w:r w:rsidR="00367B3B" w:rsidRPr="00367B3B">
        <w:rPr>
          <w:b/>
          <w:bCs/>
          <w:lang w:val="en-US"/>
        </w:rPr>
        <w:t>aling the TN coverage the corresponding geographical area information is provided by the network via location coordinates of area center and the radius.</w:t>
      </w:r>
    </w:p>
    <w:p w14:paraId="59F00419" w14:textId="134A93E6" w:rsidR="00367B3B" w:rsidRDefault="00367B3B" w:rsidP="008B492B">
      <w:pPr>
        <w:jc w:val="both"/>
        <w:rPr>
          <w:lang w:val="en-US"/>
        </w:rPr>
      </w:pPr>
      <w:r>
        <w:rPr>
          <w:lang w:val="en-US"/>
        </w:rPr>
        <w:t>Considering our analysis above and if Proposal 1 is agreed, we suggest to decide which IE to use for representing the TN area’s center and what is the required range and granularity of the TN area’s radius.</w:t>
      </w:r>
    </w:p>
    <w:p w14:paraId="366BD724" w14:textId="6AFDA54C" w:rsidR="00367B3B" w:rsidRPr="00113FDE" w:rsidRDefault="00367B3B" w:rsidP="008B492B">
      <w:pPr>
        <w:jc w:val="both"/>
        <w:rPr>
          <w:b/>
          <w:bCs/>
          <w:lang w:val="en-US"/>
        </w:rPr>
      </w:pPr>
      <w:r w:rsidRPr="00113FDE">
        <w:rPr>
          <w:b/>
          <w:bCs/>
          <w:lang w:val="en-US"/>
        </w:rPr>
        <w:t xml:space="preserve">Proposal 2: </w:t>
      </w:r>
      <w:r w:rsidR="00113FDE" w:rsidRPr="00113FDE">
        <w:rPr>
          <w:b/>
          <w:bCs/>
          <w:lang w:val="en-US"/>
        </w:rPr>
        <w:t>RAN2 shall further discuss which IE to use for representing the TN area’s center and what is the required range and granularity of the TN area’s radius.</w:t>
      </w:r>
    </w:p>
    <w:p w14:paraId="65FC7355" w14:textId="6E5ED02E" w:rsidR="001B186A" w:rsidRDefault="0059050F" w:rsidP="0059050F">
      <w:pPr>
        <w:pStyle w:val="Heading2"/>
      </w:pPr>
      <w:r>
        <w:lastRenderedPageBreak/>
        <w:t xml:space="preserve">2.2 </w:t>
      </w:r>
      <w:r>
        <w:tab/>
      </w:r>
      <w:r w:rsidR="00113FDE">
        <w:t>Signalling</w:t>
      </w:r>
      <w:r>
        <w:t xml:space="preserve"> of TN coverage area</w:t>
      </w:r>
    </w:p>
    <w:p w14:paraId="5C9897A1" w14:textId="77777777" w:rsidR="00113FDE" w:rsidRDefault="00113FDE" w:rsidP="00381610">
      <w:pPr>
        <w:jc w:val="both"/>
      </w:pPr>
      <w:r>
        <w:t>In multiple papers submitted to RAN2#121 it has been raised that broadcast-based TN coverage area providing is not easily achievable due to the size constraints. Thus, it has been argued that broadcast may serve to provide a coarse information, while more accurate TN coverage definition is sent to the UE using dedicated signalling. In our opinion, there is no need to differentiate and introduce coarse and accurate TN coverage information. If we use the definition of TN coverage as described in section 2.1 then system information can be used to provide the UE with the details of more than a single TN coverage area (considering the maximum SIB size of 2976 bits).</w:t>
      </w:r>
    </w:p>
    <w:p w14:paraId="11C202E4" w14:textId="556C9761" w:rsidR="00113FDE" w:rsidRPr="00113FDE" w:rsidRDefault="00113FDE" w:rsidP="00381610">
      <w:pPr>
        <w:jc w:val="both"/>
        <w:rPr>
          <w:b/>
          <w:bCs/>
        </w:rPr>
      </w:pPr>
      <w:r w:rsidRPr="00113FDE">
        <w:rPr>
          <w:b/>
          <w:bCs/>
        </w:rPr>
        <w:t xml:space="preserve">Observation 5: A single SIB can have a size of nearly 3k bits, so should be sufficient for signalling more than a single TN coverage area information requiring ~50 bits. </w:t>
      </w:r>
    </w:p>
    <w:p w14:paraId="7955FE86" w14:textId="0586276D" w:rsidR="00256830" w:rsidRDefault="00256830" w:rsidP="00381610">
      <w:pPr>
        <w:jc w:val="both"/>
      </w:pPr>
      <w:r>
        <w:t>Dedicated signalling, if understood as RRC dedicated signalling, requires the UE to be in RRC_CONNECTED mode, while the whole objective on TN-NTN reselections is to address the issues encountered by RRC_IDLE mode UEs. Obviously, there are means to configure the UE with certain information when it move</w:t>
      </w:r>
      <w:r w:rsidR="00D46762">
        <w:t>s</w:t>
      </w:r>
      <w:r>
        <w:t xml:space="preserve"> from </w:t>
      </w:r>
      <w:r w:rsidR="00381610">
        <w:t>RRC_IDLE to RRC_CONNECTED (</w:t>
      </w:r>
      <w:proofErr w:type="gramStart"/>
      <w:r w:rsidR="00381610">
        <w:t>e.g.</w:t>
      </w:r>
      <w:proofErr w:type="gramEnd"/>
      <w:r w:rsidR="00381610">
        <w:t xml:space="preserve"> in RRC Release message), but we also see no point why this information would have to be UE specific. After all, TN coverage is something which is fixed and unchanged. It is </w:t>
      </w:r>
      <w:proofErr w:type="gramStart"/>
      <w:r w:rsidR="00381610">
        <w:t>actually the</w:t>
      </w:r>
      <w:proofErr w:type="gramEnd"/>
      <w:r w:rsidR="00381610">
        <w:t xml:space="preserve"> same for all the UEs within certain area.  </w:t>
      </w:r>
    </w:p>
    <w:p w14:paraId="371C1603" w14:textId="3EB68362" w:rsidR="0059050F" w:rsidRPr="00767D3E" w:rsidRDefault="00381610" w:rsidP="00381610">
      <w:pPr>
        <w:jc w:val="both"/>
        <w:rPr>
          <w:b/>
          <w:bCs/>
        </w:rPr>
      </w:pPr>
      <w:r w:rsidRPr="00767D3E">
        <w:rPr>
          <w:b/>
          <w:bCs/>
        </w:rPr>
        <w:t xml:space="preserve">Observation 6: </w:t>
      </w:r>
      <w:r w:rsidR="00767D3E" w:rsidRPr="00767D3E">
        <w:rPr>
          <w:b/>
          <w:bCs/>
        </w:rPr>
        <w:t>TN coverage area is a static type of information; it does not change, and it is the same for all UEs within certain area.</w:t>
      </w:r>
    </w:p>
    <w:p w14:paraId="5C66694C" w14:textId="0079EC41" w:rsidR="00767D3E" w:rsidRPr="00767D3E" w:rsidRDefault="00767D3E" w:rsidP="00381610">
      <w:pPr>
        <w:jc w:val="both"/>
        <w:rPr>
          <w:b/>
          <w:bCs/>
        </w:rPr>
      </w:pPr>
      <w:r w:rsidRPr="00767D3E">
        <w:rPr>
          <w:b/>
          <w:bCs/>
        </w:rPr>
        <w:t xml:space="preserve">Observation 7: Dedicated RRC signalling is not available to RRC_IDLE UEs. RRC Release is the only </w:t>
      </w:r>
      <w:r w:rsidR="00D46762">
        <w:rPr>
          <w:b/>
          <w:bCs/>
        </w:rPr>
        <w:t xml:space="preserve">RRC-based </w:t>
      </w:r>
      <w:r w:rsidRPr="00767D3E">
        <w:rPr>
          <w:b/>
          <w:bCs/>
        </w:rPr>
        <w:t>dedicated way to configure TN coverage information to UEs going to RRC_IDLE.</w:t>
      </w:r>
    </w:p>
    <w:p w14:paraId="2E51A283" w14:textId="1A6EFFCC" w:rsidR="00381610" w:rsidRDefault="00767D3E" w:rsidP="00381610">
      <w:pPr>
        <w:jc w:val="both"/>
      </w:pPr>
      <w:r>
        <w:t>Based on the brief analysis presented above, we propose the following:</w:t>
      </w:r>
    </w:p>
    <w:p w14:paraId="2F57E597" w14:textId="38BABCFB" w:rsidR="00767D3E" w:rsidRDefault="6CE9D2C4" w:rsidP="00381610">
      <w:pPr>
        <w:jc w:val="both"/>
        <w:rPr>
          <w:b/>
          <w:bCs/>
        </w:rPr>
      </w:pPr>
      <w:r w:rsidRPr="09782B23">
        <w:rPr>
          <w:b/>
          <w:bCs/>
        </w:rPr>
        <w:t>Proposal 3: TN coverage area information is provided only using broadcast-type of signalling.</w:t>
      </w:r>
    </w:p>
    <w:p w14:paraId="34FFF700" w14:textId="4F6C4F75" w:rsidR="00D46762" w:rsidRPr="00767D3E" w:rsidRDefault="001F057E" w:rsidP="00381610">
      <w:pPr>
        <w:jc w:val="both"/>
        <w:rPr>
          <w:b/>
          <w:bCs/>
        </w:rPr>
      </w:pPr>
      <w:r>
        <w:rPr>
          <w:b/>
          <w:bCs/>
        </w:rPr>
        <w:t xml:space="preserve">Proposal 4: There is no </w:t>
      </w:r>
      <w:r w:rsidR="00056614">
        <w:rPr>
          <w:b/>
          <w:bCs/>
        </w:rPr>
        <w:t>TN coverage information differentiation such as coarse information and accurate information.</w:t>
      </w:r>
    </w:p>
    <w:p w14:paraId="5989DD9A" w14:textId="36C7D8CE" w:rsidR="00A51873" w:rsidRDefault="00113FDE" w:rsidP="00381610">
      <w:pPr>
        <w:pStyle w:val="Heading2"/>
        <w:jc w:val="both"/>
      </w:pPr>
      <w:r>
        <w:t xml:space="preserve">2.3 </w:t>
      </w:r>
      <w:r>
        <w:tab/>
        <w:t>Validity of the TN coverage area information</w:t>
      </w:r>
    </w:p>
    <w:p w14:paraId="2FD25F8A" w14:textId="5B5EFBDE" w:rsidR="000C10C7" w:rsidRDefault="00A672FA" w:rsidP="00381610">
      <w:pPr>
        <w:jc w:val="both"/>
      </w:pPr>
      <w:r>
        <w:t>As indicated already above, the</w:t>
      </w:r>
      <w:r w:rsidR="00052112">
        <w:t xml:space="preserve"> TN coverage area information is something static. In addition, if signalled as we propose above, it is also not excessive in terms of the number of bits </w:t>
      </w:r>
      <w:r w:rsidR="00397022">
        <w:t>this information consumes</w:t>
      </w:r>
      <w:r w:rsidR="00A77CBA">
        <w:t>. Thus</w:t>
      </w:r>
      <w:r w:rsidR="00397022">
        <w:t>, it is not a serious burden in terms of the UE’s storage capabilities.</w:t>
      </w:r>
    </w:p>
    <w:p w14:paraId="705F6789" w14:textId="54D49509" w:rsidR="00A77CBA" w:rsidRPr="00A77CBA" w:rsidRDefault="00A77CBA" w:rsidP="00381610">
      <w:pPr>
        <w:jc w:val="both"/>
        <w:rPr>
          <w:b/>
          <w:bCs/>
        </w:rPr>
      </w:pPr>
      <w:r w:rsidRPr="00A77CBA">
        <w:rPr>
          <w:b/>
          <w:bCs/>
        </w:rPr>
        <w:t>Observation 8: TN coverage area represented according to Option 1 (</w:t>
      </w:r>
      <w:proofErr w:type="gramStart"/>
      <w:r w:rsidRPr="00A77CBA">
        <w:rPr>
          <w:b/>
          <w:bCs/>
        </w:rPr>
        <w:t>i.e.</w:t>
      </w:r>
      <w:proofErr w:type="gramEnd"/>
      <w:r w:rsidRPr="00A77CBA">
        <w:rPr>
          <w:b/>
          <w:bCs/>
        </w:rPr>
        <w:t xml:space="preserve"> TN area’s </w:t>
      </w:r>
      <w:proofErr w:type="spellStart"/>
      <w:r w:rsidRPr="00A77CBA">
        <w:rPr>
          <w:b/>
          <w:bCs/>
        </w:rPr>
        <w:t>center</w:t>
      </w:r>
      <w:proofErr w:type="spellEnd"/>
      <w:r w:rsidRPr="00A77CBA">
        <w:rPr>
          <w:b/>
          <w:bCs/>
        </w:rPr>
        <w:t xml:space="preserve"> and radius) is not problematic in terms of the UE storage capabilities when bit consumption is considered.</w:t>
      </w:r>
    </w:p>
    <w:p w14:paraId="6E20313D" w14:textId="0D6F0CE8" w:rsidR="00397022" w:rsidRDefault="004D1487" w:rsidP="00381610">
      <w:pPr>
        <w:jc w:val="both"/>
      </w:pPr>
      <w:r>
        <w:t xml:space="preserve">Due to the above, it is fine to expect the UE stores TN coverage information for a long time and does not require frequent updates. Of course, RAN2 needs to discuss how is it possible that </w:t>
      </w:r>
      <w:r w:rsidR="00E97E46">
        <w:t>the information acquired from one</w:t>
      </w:r>
      <w:r w:rsidR="00E61152">
        <w:t xml:space="preserve"> (</w:t>
      </w:r>
      <w:proofErr w:type="gramStart"/>
      <w:r w:rsidR="00E61152">
        <w:t>e.g.</w:t>
      </w:r>
      <w:proofErr w:type="gramEnd"/>
      <w:r w:rsidR="00E61152">
        <w:t xml:space="preserve"> cell-</w:t>
      </w:r>
      <w:proofErr w:type="spellStart"/>
      <w:r w:rsidR="00E61152">
        <w:t>specifc</w:t>
      </w:r>
      <w:proofErr w:type="spellEnd"/>
      <w:r w:rsidR="00E61152">
        <w:t>)</w:t>
      </w:r>
      <w:r w:rsidR="00E97E46">
        <w:t xml:space="preserve"> system information block is available e.g. when the UE is</w:t>
      </w:r>
      <w:r w:rsidR="0057556E">
        <w:t xml:space="preserve"> already few cells away from the </w:t>
      </w:r>
      <w:r w:rsidR="00E61152">
        <w:t>cell</w:t>
      </w:r>
      <w:r w:rsidR="0057556E">
        <w:t xml:space="preserve"> whose SIB </w:t>
      </w:r>
      <w:r w:rsidR="00E61152">
        <w:t>was the source of TN coverage information</w:t>
      </w:r>
      <w:r w:rsidR="0057556E">
        <w:t>.</w:t>
      </w:r>
    </w:p>
    <w:p w14:paraId="0CF25BE1" w14:textId="6C81CA79" w:rsidR="0067671C" w:rsidRPr="00A7232D" w:rsidRDefault="0057556E" w:rsidP="00381610">
      <w:pPr>
        <w:jc w:val="both"/>
        <w:rPr>
          <w:b/>
          <w:bCs/>
        </w:rPr>
      </w:pPr>
      <w:r w:rsidRPr="00A7232D">
        <w:rPr>
          <w:b/>
          <w:bCs/>
        </w:rPr>
        <w:t xml:space="preserve">Proposal </w:t>
      </w:r>
      <w:r w:rsidR="005B3F6C">
        <w:rPr>
          <w:b/>
          <w:bCs/>
        </w:rPr>
        <w:t>5</w:t>
      </w:r>
      <w:r w:rsidRPr="00A7232D">
        <w:rPr>
          <w:b/>
          <w:bCs/>
        </w:rPr>
        <w:t xml:space="preserve">: </w:t>
      </w:r>
      <w:r w:rsidR="00E35336" w:rsidRPr="00A7232D">
        <w:rPr>
          <w:b/>
          <w:bCs/>
        </w:rPr>
        <w:t>RAN2</w:t>
      </w:r>
      <w:r w:rsidR="00F8329B">
        <w:rPr>
          <w:b/>
          <w:bCs/>
        </w:rPr>
        <w:t xml:space="preserve"> is asked</w:t>
      </w:r>
      <w:r w:rsidR="00E35336" w:rsidRPr="00A7232D">
        <w:rPr>
          <w:b/>
          <w:bCs/>
        </w:rPr>
        <w:t xml:space="preserve"> </w:t>
      </w:r>
      <w:r w:rsidR="00703D3A" w:rsidRPr="00A7232D">
        <w:rPr>
          <w:b/>
          <w:bCs/>
        </w:rPr>
        <w:t xml:space="preserve">to discuss how the information acquired from SIB in one cell can remain valid even if the UE has already </w:t>
      </w:r>
      <w:r w:rsidR="0067671C" w:rsidRPr="00A7232D">
        <w:rPr>
          <w:b/>
          <w:bCs/>
        </w:rPr>
        <w:t xml:space="preserve">moved </w:t>
      </w:r>
      <w:r w:rsidR="00703D3A" w:rsidRPr="00A7232D">
        <w:rPr>
          <w:b/>
          <w:bCs/>
        </w:rPr>
        <w:t>few cells away</w:t>
      </w:r>
      <w:r w:rsidR="0067671C" w:rsidRPr="00A7232D">
        <w:rPr>
          <w:b/>
          <w:bCs/>
        </w:rPr>
        <w:t>.</w:t>
      </w:r>
    </w:p>
    <w:p w14:paraId="1F5F114B" w14:textId="24D36A99" w:rsidR="0067671C" w:rsidRDefault="003E1DF7" w:rsidP="00381610">
      <w:pPr>
        <w:jc w:val="both"/>
      </w:pPr>
      <w:r>
        <w:t xml:space="preserve">We may also begin addressing this topic by </w:t>
      </w:r>
      <w:r w:rsidR="00C31E9C">
        <w:t xml:space="preserve">taking small steps and </w:t>
      </w:r>
      <w:r>
        <w:t>defining the scenario</w:t>
      </w:r>
      <w:r w:rsidR="00C31E9C">
        <w:t>s</w:t>
      </w:r>
      <w:r>
        <w:t xml:space="preserve"> where the UE is not forced to acquire an update</w:t>
      </w:r>
      <w:r w:rsidR="00952176">
        <w:t xml:space="preserve">d </w:t>
      </w:r>
      <w:r>
        <w:t xml:space="preserve">TN coverage information. </w:t>
      </w:r>
      <w:r w:rsidR="00952176">
        <w:t>For example, if the UE is within the coverage of the TN area for which it has acquired the details</w:t>
      </w:r>
      <w:r w:rsidR="00964473">
        <w:t>, then there is not point in searching for new TN coverage information. Similarly, if the UE is stationary, then it is obviously not moving towards any TN coverage area</w:t>
      </w:r>
      <w:r w:rsidR="00BD54EE">
        <w:t xml:space="preserve"> and new information acquisition is pointless. </w:t>
      </w:r>
      <w:r w:rsidR="007C3A7E">
        <w:t xml:space="preserve">On the other hand, if the UE moves significantly, then it may </w:t>
      </w:r>
      <w:r w:rsidR="00760488">
        <w:t>turn out the previously acquired information becomes insufficient as new TN coverage spots may become available.</w:t>
      </w:r>
    </w:p>
    <w:p w14:paraId="6D6DD344" w14:textId="203E8A8B" w:rsidR="0057556E" w:rsidRPr="00A7232D" w:rsidRDefault="00760488" w:rsidP="00381610">
      <w:pPr>
        <w:jc w:val="both"/>
        <w:rPr>
          <w:b/>
          <w:bCs/>
        </w:rPr>
      </w:pPr>
      <w:r w:rsidRPr="00A7232D">
        <w:rPr>
          <w:b/>
          <w:bCs/>
        </w:rPr>
        <w:t>Proposa</w:t>
      </w:r>
      <w:r w:rsidR="002E4286" w:rsidRPr="00A7232D">
        <w:rPr>
          <w:b/>
          <w:bCs/>
        </w:rPr>
        <w:t xml:space="preserve">l </w:t>
      </w:r>
      <w:r w:rsidR="005B3F6C">
        <w:rPr>
          <w:b/>
          <w:bCs/>
        </w:rPr>
        <w:t>6</w:t>
      </w:r>
      <w:r w:rsidR="002E4286" w:rsidRPr="00A7232D">
        <w:rPr>
          <w:b/>
          <w:bCs/>
        </w:rPr>
        <w:t xml:space="preserve">: </w:t>
      </w:r>
      <w:r w:rsidR="00F8329B" w:rsidRPr="00A7232D">
        <w:rPr>
          <w:b/>
          <w:bCs/>
        </w:rPr>
        <w:t>RAN2 is asked to discuss in what circumstances the UE may not acquire the new TN coverage information (</w:t>
      </w:r>
      <w:proofErr w:type="gramStart"/>
      <w:r w:rsidR="00F8329B" w:rsidRPr="00A7232D">
        <w:rPr>
          <w:b/>
          <w:bCs/>
        </w:rPr>
        <w:t>e.g.</w:t>
      </w:r>
      <w:proofErr w:type="gramEnd"/>
      <w:r w:rsidR="00F8329B" w:rsidRPr="00A7232D">
        <w:rPr>
          <w:b/>
          <w:bCs/>
        </w:rPr>
        <w:t xml:space="preserve"> UE is stationary or UE is within the TN coverage)</w:t>
      </w:r>
      <w:r w:rsidR="00A7232D" w:rsidRPr="00A7232D">
        <w:rPr>
          <w:b/>
          <w:bCs/>
        </w:rPr>
        <w:t xml:space="preserve"> and when the UE shall search for new TN coverage (e.g. UE moves significantly). </w:t>
      </w:r>
    </w:p>
    <w:p w14:paraId="69B7B8E6" w14:textId="75DC8442" w:rsidR="009339CB" w:rsidRPr="007438C6" w:rsidRDefault="008B492B" w:rsidP="00D52BE2">
      <w:pPr>
        <w:pStyle w:val="Heading1"/>
        <w:jc w:val="both"/>
      </w:pPr>
      <w:r>
        <w:t>3</w:t>
      </w:r>
      <w:r w:rsidR="009339CB" w:rsidRPr="007438C6">
        <w:tab/>
        <w:t>Conclusion</w:t>
      </w:r>
    </w:p>
    <w:p w14:paraId="35F222F4" w14:textId="2DDB295D" w:rsidR="00080512" w:rsidRDefault="00881DE2" w:rsidP="00D52BE2">
      <w:pPr>
        <w:jc w:val="both"/>
      </w:pPr>
      <w:r>
        <w:t>In this paper the follow</w:t>
      </w:r>
      <w:r w:rsidR="008F4EC5">
        <w:t>ing</w:t>
      </w:r>
      <w:r>
        <w:t xml:space="preserve"> proposals and observations on IDLE mode</w:t>
      </w:r>
      <w:r w:rsidR="008B492B">
        <w:t xml:space="preserve"> NTN-TN reselections</w:t>
      </w:r>
      <w:r w:rsidR="008F4EC5">
        <w:t xml:space="preserve"> have been made</w:t>
      </w:r>
      <w:r>
        <w:t>:</w:t>
      </w:r>
    </w:p>
    <w:p w14:paraId="19DE9A40" w14:textId="77777777" w:rsidR="008F4EC5" w:rsidRPr="00A35CB7" w:rsidRDefault="008F4EC5" w:rsidP="008F4EC5">
      <w:pPr>
        <w:jc w:val="both"/>
        <w:rPr>
          <w:b/>
          <w:bCs/>
        </w:rPr>
      </w:pPr>
      <w:r w:rsidRPr="008B2F7D">
        <w:rPr>
          <w:b/>
          <w:bCs/>
        </w:rPr>
        <w:lastRenderedPageBreak/>
        <w:t xml:space="preserve">Observation </w:t>
      </w:r>
      <w:r w:rsidRPr="003D1188">
        <w:rPr>
          <w:b/>
          <w:bCs/>
        </w:rPr>
        <w:t>1</w:t>
      </w:r>
      <w:r w:rsidRPr="008B2F7D">
        <w:rPr>
          <w:b/>
        </w:rPr>
        <w:t>:</w:t>
      </w:r>
      <w:r w:rsidRPr="00A35CB7">
        <w:rPr>
          <w:b/>
          <w:bCs/>
        </w:rPr>
        <w:t xml:space="preserve"> The UE needs to know if it is close to the TN but does not require the exact coverage area.</w:t>
      </w:r>
    </w:p>
    <w:p w14:paraId="37EA6D06" w14:textId="77777777" w:rsidR="008F4EC5" w:rsidRDefault="008F4EC5" w:rsidP="008F4EC5">
      <w:pPr>
        <w:jc w:val="both"/>
        <w:rPr>
          <w:b/>
          <w:bCs/>
          <w:lang w:val="en-US"/>
        </w:rPr>
      </w:pPr>
      <w:r w:rsidRPr="00AB56CC">
        <w:rPr>
          <w:b/>
          <w:bCs/>
          <w:lang w:val="en-US"/>
        </w:rPr>
        <w:t xml:space="preserve">Observation 2: To avoid excessive signaling, a single TN coverage area does not require </w:t>
      </w:r>
      <w:r>
        <w:rPr>
          <w:b/>
          <w:bCs/>
          <w:lang w:val="en-US"/>
        </w:rPr>
        <w:t xml:space="preserve">broadcasting more than coordinates for a single geolocation. </w:t>
      </w:r>
    </w:p>
    <w:p w14:paraId="296BCA3D" w14:textId="77777777" w:rsidR="008F4EC5" w:rsidRPr="00367B3B" w:rsidRDefault="008F4EC5" w:rsidP="008F4EC5">
      <w:pPr>
        <w:jc w:val="both"/>
        <w:rPr>
          <w:b/>
          <w:bCs/>
          <w:lang w:val="en-US"/>
        </w:rPr>
      </w:pPr>
      <w:r w:rsidRPr="00367B3B">
        <w:rPr>
          <w:b/>
          <w:bCs/>
          <w:lang w:val="en-US"/>
        </w:rPr>
        <w:t>Observation 3: If TN coverage is represented according to Option 1, TN area’s center is represented using Ellipsoid-Point, and the minimum and maximum radius is equal to 1 km and 50 km, respectively then 54 bits are required to signal a single TN coverage area.</w:t>
      </w:r>
    </w:p>
    <w:p w14:paraId="66469684" w14:textId="77777777" w:rsidR="008F4EC5" w:rsidRPr="00367B3B" w:rsidRDefault="008F4EC5" w:rsidP="008F4EC5">
      <w:pPr>
        <w:jc w:val="both"/>
        <w:rPr>
          <w:b/>
          <w:bCs/>
          <w:lang w:val="en-US"/>
        </w:rPr>
      </w:pPr>
      <w:r w:rsidRPr="00367B3B">
        <w:rPr>
          <w:b/>
          <w:bCs/>
          <w:lang w:val="en-US"/>
        </w:rPr>
        <w:t>Observation 4: Other options (</w:t>
      </w:r>
      <w:proofErr w:type="gramStart"/>
      <w:r w:rsidRPr="00367B3B">
        <w:rPr>
          <w:b/>
          <w:bCs/>
          <w:lang w:val="en-US"/>
        </w:rPr>
        <w:t>i.e.</w:t>
      </w:r>
      <w:proofErr w:type="gramEnd"/>
      <w:r w:rsidRPr="00367B3B">
        <w:rPr>
          <w:b/>
          <w:bCs/>
          <w:lang w:val="en-US"/>
        </w:rPr>
        <w:t xml:space="preserve"> option 2 and option 6) are less efficient when bit consumption is considered.</w:t>
      </w:r>
    </w:p>
    <w:p w14:paraId="41AE5239" w14:textId="77777777" w:rsidR="008F4EC5" w:rsidRPr="00367B3B" w:rsidRDefault="008F4EC5" w:rsidP="008F4EC5">
      <w:pPr>
        <w:jc w:val="both"/>
        <w:rPr>
          <w:b/>
          <w:bCs/>
          <w:lang w:val="en-US"/>
        </w:rPr>
      </w:pPr>
      <w:r w:rsidRPr="00367B3B">
        <w:rPr>
          <w:b/>
          <w:bCs/>
          <w:lang w:val="en-US"/>
        </w:rPr>
        <w:t>Proposal 1: For sig</w:t>
      </w:r>
      <w:r>
        <w:rPr>
          <w:b/>
          <w:bCs/>
          <w:lang w:val="en-US"/>
        </w:rPr>
        <w:t>n</w:t>
      </w:r>
      <w:r w:rsidRPr="00367B3B">
        <w:rPr>
          <w:b/>
          <w:bCs/>
          <w:lang w:val="en-US"/>
        </w:rPr>
        <w:t>aling the TN coverage the corresponding geographical area information is provided by the network via location coordinates of area center and the radius.</w:t>
      </w:r>
    </w:p>
    <w:p w14:paraId="6004B00B" w14:textId="77777777" w:rsidR="008F4EC5" w:rsidRPr="00113FDE" w:rsidRDefault="008F4EC5" w:rsidP="008F4EC5">
      <w:pPr>
        <w:jc w:val="both"/>
        <w:rPr>
          <w:b/>
          <w:bCs/>
          <w:lang w:val="en-US"/>
        </w:rPr>
      </w:pPr>
      <w:r w:rsidRPr="00113FDE">
        <w:rPr>
          <w:b/>
          <w:bCs/>
          <w:lang w:val="en-US"/>
        </w:rPr>
        <w:t>Proposal 2: RAN2 shall further discuss which IE to use for representing the TN area’s center and what is the required range and granularity of the TN area’s radius.</w:t>
      </w:r>
    </w:p>
    <w:p w14:paraId="441C4CC2" w14:textId="77777777" w:rsidR="008F4EC5" w:rsidRPr="00113FDE" w:rsidRDefault="008F4EC5" w:rsidP="008F4EC5">
      <w:pPr>
        <w:jc w:val="both"/>
        <w:rPr>
          <w:b/>
          <w:bCs/>
        </w:rPr>
      </w:pPr>
      <w:r w:rsidRPr="00113FDE">
        <w:rPr>
          <w:b/>
          <w:bCs/>
        </w:rPr>
        <w:t xml:space="preserve">Observation 5: A single SIB can have a size of nearly 3k bits, so should be sufficient for signalling more than a single TN coverage area information requiring ~50 bits. </w:t>
      </w:r>
    </w:p>
    <w:p w14:paraId="2DF666FC" w14:textId="77777777" w:rsidR="009474F8" w:rsidRPr="00767D3E" w:rsidRDefault="009474F8" w:rsidP="009474F8">
      <w:pPr>
        <w:jc w:val="both"/>
        <w:rPr>
          <w:b/>
          <w:bCs/>
        </w:rPr>
      </w:pPr>
      <w:r w:rsidRPr="00767D3E">
        <w:rPr>
          <w:b/>
          <w:bCs/>
        </w:rPr>
        <w:t>Observation 6: TN coverage area is a static type of information; it does not change, and it is the same for all UEs within certain area.</w:t>
      </w:r>
    </w:p>
    <w:p w14:paraId="60D98F36" w14:textId="77777777" w:rsidR="009474F8" w:rsidRPr="00767D3E" w:rsidRDefault="009474F8" w:rsidP="009474F8">
      <w:pPr>
        <w:jc w:val="both"/>
        <w:rPr>
          <w:b/>
          <w:bCs/>
        </w:rPr>
      </w:pPr>
      <w:r w:rsidRPr="00767D3E">
        <w:rPr>
          <w:b/>
          <w:bCs/>
        </w:rPr>
        <w:t xml:space="preserve">Observation 7: Dedicated RRC signalling is not available to RRC_IDLE UEs. RRC Release is the only </w:t>
      </w:r>
      <w:r>
        <w:rPr>
          <w:b/>
          <w:bCs/>
        </w:rPr>
        <w:t xml:space="preserve">RRC-based </w:t>
      </w:r>
      <w:r w:rsidRPr="00767D3E">
        <w:rPr>
          <w:b/>
          <w:bCs/>
        </w:rPr>
        <w:t>dedicated way to configure TN coverage information to UEs going to RRC_IDLE.</w:t>
      </w:r>
    </w:p>
    <w:p w14:paraId="68ED0B20" w14:textId="77777777" w:rsidR="009474F8" w:rsidRDefault="009474F8" w:rsidP="009474F8">
      <w:pPr>
        <w:jc w:val="both"/>
        <w:rPr>
          <w:b/>
          <w:bCs/>
        </w:rPr>
      </w:pPr>
      <w:r w:rsidRPr="09782B23">
        <w:rPr>
          <w:b/>
          <w:bCs/>
        </w:rPr>
        <w:t>Proposal 3: TN coverage area information is provided only using broadcast-type of signalling.</w:t>
      </w:r>
    </w:p>
    <w:p w14:paraId="68D0B805" w14:textId="77777777" w:rsidR="009474F8" w:rsidRPr="00767D3E" w:rsidRDefault="009474F8" w:rsidP="009474F8">
      <w:pPr>
        <w:jc w:val="both"/>
        <w:rPr>
          <w:b/>
          <w:bCs/>
        </w:rPr>
      </w:pPr>
      <w:r>
        <w:rPr>
          <w:b/>
          <w:bCs/>
        </w:rPr>
        <w:t>Proposal 4: There is no TN coverage information differentiation such as coarse information and accurate information.</w:t>
      </w:r>
    </w:p>
    <w:p w14:paraId="7087A953" w14:textId="77777777" w:rsidR="009474F8" w:rsidRPr="00A77CBA" w:rsidRDefault="009474F8" w:rsidP="009474F8">
      <w:pPr>
        <w:jc w:val="both"/>
        <w:rPr>
          <w:b/>
          <w:bCs/>
        </w:rPr>
      </w:pPr>
      <w:r w:rsidRPr="00A77CBA">
        <w:rPr>
          <w:b/>
          <w:bCs/>
        </w:rPr>
        <w:t>Observation 8: TN coverage area represented according to Option 1 (</w:t>
      </w:r>
      <w:proofErr w:type="gramStart"/>
      <w:r w:rsidRPr="00A77CBA">
        <w:rPr>
          <w:b/>
          <w:bCs/>
        </w:rPr>
        <w:t>i.e.</w:t>
      </w:r>
      <w:proofErr w:type="gramEnd"/>
      <w:r w:rsidRPr="00A77CBA">
        <w:rPr>
          <w:b/>
          <w:bCs/>
        </w:rPr>
        <w:t xml:space="preserve"> TN area’s </w:t>
      </w:r>
      <w:proofErr w:type="spellStart"/>
      <w:r w:rsidRPr="00A77CBA">
        <w:rPr>
          <w:b/>
          <w:bCs/>
        </w:rPr>
        <w:t>center</w:t>
      </w:r>
      <w:proofErr w:type="spellEnd"/>
      <w:r w:rsidRPr="00A77CBA">
        <w:rPr>
          <w:b/>
          <w:bCs/>
        </w:rPr>
        <w:t xml:space="preserve"> and radius) is not problematic in terms of the UE storage capabilities when bit consumption is considered.</w:t>
      </w:r>
    </w:p>
    <w:p w14:paraId="08797B50" w14:textId="77777777" w:rsidR="009474F8" w:rsidRPr="00A7232D" w:rsidRDefault="009474F8" w:rsidP="009474F8">
      <w:pPr>
        <w:jc w:val="both"/>
        <w:rPr>
          <w:b/>
          <w:bCs/>
        </w:rPr>
      </w:pPr>
      <w:r w:rsidRPr="00A7232D">
        <w:rPr>
          <w:b/>
          <w:bCs/>
        </w:rPr>
        <w:t xml:space="preserve">Proposal </w:t>
      </w:r>
      <w:r>
        <w:rPr>
          <w:b/>
          <w:bCs/>
        </w:rPr>
        <w:t>5</w:t>
      </w:r>
      <w:r w:rsidRPr="00A7232D">
        <w:rPr>
          <w:b/>
          <w:bCs/>
        </w:rPr>
        <w:t>: RAN2</w:t>
      </w:r>
      <w:r>
        <w:rPr>
          <w:b/>
          <w:bCs/>
        </w:rPr>
        <w:t xml:space="preserve"> is asked</w:t>
      </w:r>
      <w:r w:rsidRPr="00A7232D">
        <w:rPr>
          <w:b/>
          <w:bCs/>
        </w:rPr>
        <w:t xml:space="preserve"> to discuss how the information acquired from SIB in one cell can remain valid even if the UE has already moved few cells away.</w:t>
      </w:r>
    </w:p>
    <w:p w14:paraId="5DBE13F9" w14:textId="29F32BA5" w:rsidR="00132080" w:rsidRPr="00482008" w:rsidRDefault="009474F8" w:rsidP="00D52BE2">
      <w:pPr>
        <w:jc w:val="both"/>
        <w:rPr>
          <w:b/>
          <w:bCs/>
        </w:rPr>
      </w:pPr>
      <w:r w:rsidRPr="00A7232D">
        <w:rPr>
          <w:b/>
          <w:bCs/>
        </w:rPr>
        <w:t xml:space="preserve">Proposal </w:t>
      </w:r>
      <w:r>
        <w:rPr>
          <w:b/>
          <w:bCs/>
        </w:rPr>
        <w:t>6</w:t>
      </w:r>
      <w:r w:rsidRPr="00A7232D">
        <w:rPr>
          <w:b/>
          <w:bCs/>
        </w:rPr>
        <w:t>: RAN2 is asked to discuss in what circumstances the UE may not acquire the new TN coverage information (</w:t>
      </w:r>
      <w:proofErr w:type="gramStart"/>
      <w:r w:rsidRPr="00A7232D">
        <w:rPr>
          <w:b/>
          <w:bCs/>
        </w:rPr>
        <w:t>e.g.</w:t>
      </w:r>
      <w:proofErr w:type="gramEnd"/>
      <w:r w:rsidRPr="00A7232D">
        <w:rPr>
          <w:b/>
          <w:bCs/>
        </w:rPr>
        <w:t xml:space="preserve"> UE is stationary or UE is within the TN coverage) and when the UE shall search for new TN coverage (e.g. UE moves significantly). </w:t>
      </w:r>
    </w:p>
    <w:p w14:paraId="64C1C004" w14:textId="292CBA63" w:rsidR="0025571F" w:rsidRPr="007438C6" w:rsidRDefault="0025571F" w:rsidP="00D52BE2">
      <w:pPr>
        <w:pStyle w:val="Heading1"/>
        <w:jc w:val="both"/>
      </w:pPr>
      <w:r w:rsidRPr="007438C6">
        <w:t>References</w:t>
      </w:r>
    </w:p>
    <w:p w14:paraId="04F15FF7" w14:textId="51EE4822" w:rsidR="00BF636B" w:rsidRDefault="00BF636B" w:rsidP="005F3395">
      <w:pPr>
        <w:pStyle w:val="ListParagraph"/>
        <w:numPr>
          <w:ilvl w:val="0"/>
          <w:numId w:val="8"/>
        </w:numPr>
        <w:jc w:val="both"/>
      </w:pPr>
      <w:r>
        <w:t xml:space="preserve">RP-230809 </w:t>
      </w:r>
      <w:r w:rsidRPr="00EA2D2A">
        <w:rPr>
          <w:i/>
          <w:iCs/>
        </w:rPr>
        <w:t>Revised WID: NR NTN (Non-Terrestrial Networks) enhancements</w:t>
      </w:r>
      <w:r w:rsidR="005F3395">
        <w:t xml:space="preserve"> 3GPP TSG RAN Meeting #99 Rotterdam/The Netherlands, March 20-23, 2023</w:t>
      </w:r>
      <w:r w:rsidR="005F3395">
        <w:tab/>
      </w:r>
    </w:p>
    <w:p w14:paraId="20EE7DD2" w14:textId="44456975" w:rsidR="0086340F" w:rsidRDefault="00052A72" w:rsidP="008B1A2A">
      <w:pPr>
        <w:pStyle w:val="ListParagraph"/>
        <w:numPr>
          <w:ilvl w:val="0"/>
          <w:numId w:val="8"/>
        </w:numPr>
        <w:jc w:val="both"/>
      </w:pPr>
      <w:bookmarkStart w:id="0" w:name="_Ref131150281"/>
      <w:r>
        <w:t xml:space="preserve">R2-2301901 </w:t>
      </w:r>
      <w:r w:rsidRPr="00EA2D2A">
        <w:rPr>
          <w:i/>
          <w:iCs/>
        </w:rPr>
        <w:t>Report from Break-out session on NR-NTN, IoT-</w:t>
      </w:r>
      <w:proofErr w:type="gramStart"/>
      <w:r w:rsidRPr="00EA2D2A">
        <w:rPr>
          <w:i/>
          <w:iCs/>
        </w:rPr>
        <w:t>NTN</w:t>
      </w:r>
      <w:proofErr w:type="gramEnd"/>
      <w:r w:rsidRPr="00EA2D2A">
        <w:rPr>
          <w:i/>
          <w:iCs/>
        </w:rPr>
        <w:t xml:space="preserve"> and </w:t>
      </w:r>
      <w:proofErr w:type="spellStart"/>
      <w:r w:rsidRPr="00EA2D2A">
        <w:rPr>
          <w:i/>
          <w:iCs/>
        </w:rPr>
        <w:t>RedCap</w:t>
      </w:r>
      <w:proofErr w:type="spellEnd"/>
      <w:r w:rsidR="00EA2D2A">
        <w:t xml:space="preserve"> 3GPP TSG-RAN WG2 Meeting #121 Athens, Greece, Feb 27th- Mar 3</w:t>
      </w:r>
      <w:r w:rsidR="009C5939">
        <w:t>rd</w:t>
      </w:r>
      <w:r w:rsidR="00EA2D2A">
        <w:t>, 2023</w:t>
      </w:r>
      <w:bookmarkEnd w:id="0"/>
    </w:p>
    <w:p w14:paraId="61DA81D7" w14:textId="1ED45329" w:rsidR="009C5939" w:rsidRDefault="009C5939" w:rsidP="008B1A2A">
      <w:pPr>
        <w:pStyle w:val="ListParagraph"/>
        <w:numPr>
          <w:ilvl w:val="0"/>
          <w:numId w:val="8"/>
        </w:numPr>
        <w:jc w:val="both"/>
      </w:pPr>
      <w:r w:rsidRPr="009C5939">
        <w:t>R2-2300476</w:t>
      </w:r>
      <w:r>
        <w:t xml:space="preserve"> </w:t>
      </w:r>
      <w:r w:rsidRPr="009C5939">
        <w:rPr>
          <w:i/>
          <w:iCs/>
        </w:rPr>
        <w:t>On Enhanced Cell Reselection in Rel-18 NTN</w:t>
      </w:r>
      <w:r>
        <w:t xml:space="preserve"> 3GPP TSG-RAN WG2 Meeting #121 Athens, Greece, Feb 27th- Mar 3rd, 2023</w:t>
      </w:r>
    </w:p>
    <w:p w14:paraId="528713E6" w14:textId="7E9B2D7D" w:rsidR="00AB56CC" w:rsidRPr="007438C6" w:rsidRDefault="00AB56CC" w:rsidP="008B1A2A">
      <w:pPr>
        <w:pStyle w:val="ListParagraph"/>
        <w:numPr>
          <w:ilvl w:val="0"/>
          <w:numId w:val="8"/>
        </w:numPr>
        <w:jc w:val="both"/>
      </w:pPr>
      <w:bookmarkStart w:id="1" w:name="_Ref131434939"/>
      <w:r>
        <w:t>TS 37.355</w:t>
      </w:r>
      <w:bookmarkEnd w:id="1"/>
      <w:r w:rsidR="00BD19FE">
        <w:t xml:space="preserve"> </w:t>
      </w:r>
      <w:r w:rsidR="00BD19FE" w:rsidRPr="00AD38A8">
        <w:rPr>
          <w:i/>
          <w:iCs/>
        </w:rPr>
        <w:t>LTE Positioning Protocol (LPP)</w:t>
      </w:r>
      <w:r w:rsidR="00BD19FE">
        <w:t xml:space="preserve">, </w:t>
      </w:r>
      <w:r w:rsidR="00BD19FE" w:rsidRPr="00BD19FE">
        <w:t>V17.3.0 (2022-12)</w:t>
      </w:r>
    </w:p>
    <w:sectPr w:rsidR="00AB56CC" w:rsidRPr="007438C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75AAA" w14:textId="77777777" w:rsidR="00D005E3" w:rsidRDefault="00D005E3">
      <w:r>
        <w:separator/>
      </w:r>
    </w:p>
  </w:endnote>
  <w:endnote w:type="continuationSeparator" w:id="0">
    <w:p w14:paraId="105D7530" w14:textId="77777777" w:rsidR="00D005E3" w:rsidRDefault="00D005E3">
      <w:r>
        <w:continuationSeparator/>
      </w:r>
    </w:p>
  </w:endnote>
  <w:endnote w:type="continuationNotice" w:id="1">
    <w:p w14:paraId="0A6AE384" w14:textId="77777777" w:rsidR="00D005E3" w:rsidRDefault="00D00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BFCA9" w14:textId="77777777" w:rsidR="00D005E3" w:rsidRDefault="00D005E3">
      <w:r>
        <w:separator/>
      </w:r>
    </w:p>
  </w:footnote>
  <w:footnote w:type="continuationSeparator" w:id="0">
    <w:p w14:paraId="27033018" w14:textId="77777777" w:rsidR="00D005E3" w:rsidRDefault="00D005E3">
      <w:r>
        <w:continuationSeparator/>
      </w:r>
    </w:p>
  </w:footnote>
  <w:footnote w:type="continuationNotice" w:id="1">
    <w:p w14:paraId="29FE9BE5" w14:textId="77777777" w:rsidR="00D005E3" w:rsidRDefault="00D005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A7B63"/>
    <w:multiLevelType w:val="hybridMultilevel"/>
    <w:tmpl w:val="C3C037FC"/>
    <w:lvl w:ilvl="0" w:tplc="61625DA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3380452"/>
    <w:multiLevelType w:val="hybridMultilevel"/>
    <w:tmpl w:val="6EA2DBB4"/>
    <w:lvl w:ilvl="0" w:tplc="0EF2A5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D77175"/>
    <w:multiLevelType w:val="hybridMultilevel"/>
    <w:tmpl w:val="EE5AB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368BE"/>
    <w:multiLevelType w:val="hybridMultilevel"/>
    <w:tmpl w:val="136C5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C3032C9"/>
    <w:multiLevelType w:val="hybridMultilevel"/>
    <w:tmpl w:val="2A58C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5A0E6A"/>
    <w:multiLevelType w:val="hybridMultilevel"/>
    <w:tmpl w:val="2324774A"/>
    <w:lvl w:ilvl="0" w:tplc="0809000F">
      <w:start w:val="1"/>
      <w:numFmt w:val="decimal"/>
      <w:lvlText w:val="%1."/>
      <w:lvlJc w:val="left"/>
      <w:pPr>
        <w:ind w:left="720" w:hanging="360"/>
      </w:pPr>
    </w:lvl>
    <w:lvl w:ilvl="1" w:tplc="CE6C9F1A">
      <w:numFmt w:val="bullet"/>
      <w:lvlText w:val="•"/>
      <w:lvlJc w:val="left"/>
      <w:pPr>
        <w:ind w:left="1440" w:hanging="360"/>
      </w:pPr>
      <w:rPr>
        <w:rFonts w:ascii="Arial" w:eastAsia="MS Mincho" w:hAnsi="Arial" w:cs="Aria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D926A2F"/>
    <w:multiLevelType w:val="hybridMultilevel"/>
    <w:tmpl w:val="9FFE5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62581586"/>
    <w:multiLevelType w:val="hybridMultilevel"/>
    <w:tmpl w:val="B2DC313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1" w15:restartNumberingAfterBreak="0">
    <w:nsid w:val="6F456D1E"/>
    <w:multiLevelType w:val="hybridMultilevel"/>
    <w:tmpl w:val="D780E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93200755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009060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3093532">
    <w:abstractNumId w:val="2"/>
  </w:num>
  <w:num w:numId="4" w16cid:durableId="1183285055">
    <w:abstractNumId w:val="10"/>
  </w:num>
  <w:num w:numId="5" w16cid:durableId="1648243130">
    <w:abstractNumId w:val="9"/>
  </w:num>
  <w:num w:numId="6" w16cid:durableId="1529101419">
    <w:abstractNumId w:val="13"/>
  </w:num>
  <w:num w:numId="7" w16cid:durableId="310453445">
    <w:abstractNumId w:val="14"/>
  </w:num>
  <w:num w:numId="8" w16cid:durableId="1090738087">
    <w:abstractNumId w:val="12"/>
  </w:num>
  <w:num w:numId="9" w16cid:durableId="2081755532">
    <w:abstractNumId w:val="22"/>
  </w:num>
  <w:num w:numId="10" w16cid:durableId="1456826289">
    <w:abstractNumId w:val="16"/>
  </w:num>
  <w:num w:numId="11" w16cid:durableId="1140463093">
    <w:abstractNumId w:val="18"/>
  </w:num>
  <w:num w:numId="12" w16cid:durableId="529994715">
    <w:abstractNumId w:val="7"/>
  </w:num>
  <w:num w:numId="13" w16cid:durableId="2109111605">
    <w:abstractNumId w:val="0"/>
  </w:num>
  <w:num w:numId="14" w16cid:durableId="971860244">
    <w:abstractNumId w:val="8"/>
  </w:num>
  <w:num w:numId="15" w16cid:durableId="1777674588">
    <w:abstractNumId w:val="15"/>
  </w:num>
  <w:num w:numId="16" w16cid:durableId="15606338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8113877">
    <w:abstractNumId w:val="17"/>
  </w:num>
  <w:num w:numId="18" w16cid:durableId="767039877">
    <w:abstractNumId w:val="8"/>
  </w:num>
  <w:num w:numId="19" w16cid:durableId="8621301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8412800">
    <w:abstractNumId w:val="6"/>
  </w:num>
  <w:num w:numId="21" w16cid:durableId="1126964880">
    <w:abstractNumId w:val="8"/>
  </w:num>
  <w:num w:numId="22" w16cid:durableId="1118259842">
    <w:abstractNumId w:val="19"/>
    <w:lvlOverride w:ilvl="0">
      <w:startOverride w:val="1"/>
    </w:lvlOverride>
    <w:lvlOverride w:ilvl="1"/>
    <w:lvlOverride w:ilvl="2"/>
    <w:lvlOverride w:ilvl="3"/>
    <w:lvlOverride w:ilvl="4"/>
    <w:lvlOverride w:ilvl="5"/>
    <w:lvlOverride w:ilvl="6"/>
    <w:lvlOverride w:ilvl="7"/>
    <w:lvlOverride w:ilvl="8"/>
  </w:num>
  <w:num w:numId="23" w16cid:durableId="1455060372">
    <w:abstractNumId w:val="21"/>
  </w:num>
  <w:num w:numId="24" w16cid:durableId="1829440631">
    <w:abstractNumId w:val="20"/>
  </w:num>
  <w:num w:numId="25" w16cid:durableId="1126510261">
    <w:abstractNumId w:val="4"/>
  </w:num>
  <w:num w:numId="26" w16cid:durableId="4095428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tzQGIgNjEyNjAyUdpeDU4uLM/DyQAsNaAPXDdOAsAAAA"/>
  </w:docVars>
  <w:rsids>
    <w:rsidRoot w:val="000B7BCF"/>
    <w:rsid w:val="00004BEF"/>
    <w:rsid w:val="00004C3A"/>
    <w:rsid w:val="00006C10"/>
    <w:rsid w:val="00016557"/>
    <w:rsid w:val="0002140D"/>
    <w:rsid w:val="00021ED1"/>
    <w:rsid w:val="00023C40"/>
    <w:rsid w:val="00026806"/>
    <w:rsid w:val="00033397"/>
    <w:rsid w:val="00036390"/>
    <w:rsid w:val="00040095"/>
    <w:rsid w:val="00040CC5"/>
    <w:rsid w:val="00047934"/>
    <w:rsid w:val="00050DF3"/>
    <w:rsid w:val="00052112"/>
    <w:rsid w:val="00052A72"/>
    <w:rsid w:val="00053FED"/>
    <w:rsid w:val="00056614"/>
    <w:rsid w:val="0005772F"/>
    <w:rsid w:val="00057E71"/>
    <w:rsid w:val="00063778"/>
    <w:rsid w:val="00065268"/>
    <w:rsid w:val="0006651B"/>
    <w:rsid w:val="00071C8F"/>
    <w:rsid w:val="00071F16"/>
    <w:rsid w:val="00073C9C"/>
    <w:rsid w:val="0007434F"/>
    <w:rsid w:val="0007567A"/>
    <w:rsid w:val="0007636F"/>
    <w:rsid w:val="00076412"/>
    <w:rsid w:val="00080512"/>
    <w:rsid w:val="00090468"/>
    <w:rsid w:val="00090AA9"/>
    <w:rsid w:val="00094568"/>
    <w:rsid w:val="000953B2"/>
    <w:rsid w:val="00097281"/>
    <w:rsid w:val="000A43A7"/>
    <w:rsid w:val="000B292F"/>
    <w:rsid w:val="000B767F"/>
    <w:rsid w:val="000B7BCF"/>
    <w:rsid w:val="000C10C7"/>
    <w:rsid w:val="000C1AA1"/>
    <w:rsid w:val="000C522B"/>
    <w:rsid w:val="000C7C6E"/>
    <w:rsid w:val="000D29D3"/>
    <w:rsid w:val="000D58AB"/>
    <w:rsid w:val="000D6478"/>
    <w:rsid w:val="000D6B19"/>
    <w:rsid w:val="000E0308"/>
    <w:rsid w:val="000E1757"/>
    <w:rsid w:val="000E4A99"/>
    <w:rsid w:val="00103BF1"/>
    <w:rsid w:val="00104EFC"/>
    <w:rsid w:val="00106490"/>
    <w:rsid w:val="00107AD4"/>
    <w:rsid w:val="00110D70"/>
    <w:rsid w:val="001129A3"/>
    <w:rsid w:val="00112F1A"/>
    <w:rsid w:val="00113FDE"/>
    <w:rsid w:val="00117F27"/>
    <w:rsid w:val="00124030"/>
    <w:rsid w:val="00132080"/>
    <w:rsid w:val="001328B9"/>
    <w:rsid w:val="00133E0B"/>
    <w:rsid w:val="00134C68"/>
    <w:rsid w:val="00135FC3"/>
    <w:rsid w:val="001365C0"/>
    <w:rsid w:val="00136B9A"/>
    <w:rsid w:val="00145038"/>
    <w:rsid w:val="00145075"/>
    <w:rsid w:val="0014684F"/>
    <w:rsid w:val="00146A71"/>
    <w:rsid w:val="001601E6"/>
    <w:rsid w:val="00160A22"/>
    <w:rsid w:val="00163457"/>
    <w:rsid w:val="001667DA"/>
    <w:rsid w:val="001727BC"/>
    <w:rsid w:val="001741A0"/>
    <w:rsid w:val="00175FA0"/>
    <w:rsid w:val="0017760F"/>
    <w:rsid w:val="0018063B"/>
    <w:rsid w:val="00186F07"/>
    <w:rsid w:val="00194CD0"/>
    <w:rsid w:val="00196A92"/>
    <w:rsid w:val="001B186A"/>
    <w:rsid w:val="001B49C9"/>
    <w:rsid w:val="001B549A"/>
    <w:rsid w:val="001C1BAC"/>
    <w:rsid w:val="001C23F4"/>
    <w:rsid w:val="001C2733"/>
    <w:rsid w:val="001C4F79"/>
    <w:rsid w:val="001D1694"/>
    <w:rsid w:val="001E1B72"/>
    <w:rsid w:val="001E3EAF"/>
    <w:rsid w:val="001E5866"/>
    <w:rsid w:val="001E637B"/>
    <w:rsid w:val="001F057E"/>
    <w:rsid w:val="001F168B"/>
    <w:rsid w:val="001F7831"/>
    <w:rsid w:val="00204045"/>
    <w:rsid w:val="0020712B"/>
    <w:rsid w:val="00207755"/>
    <w:rsid w:val="00207B1E"/>
    <w:rsid w:val="00211CDD"/>
    <w:rsid w:val="00213247"/>
    <w:rsid w:val="0022606D"/>
    <w:rsid w:val="00231728"/>
    <w:rsid w:val="00231C27"/>
    <w:rsid w:val="00232E62"/>
    <w:rsid w:val="0023444A"/>
    <w:rsid w:val="00234560"/>
    <w:rsid w:val="00242D59"/>
    <w:rsid w:val="0024423B"/>
    <w:rsid w:val="00244A05"/>
    <w:rsid w:val="00247BE1"/>
    <w:rsid w:val="00250404"/>
    <w:rsid w:val="002535C4"/>
    <w:rsid w:val="0025490B"/>
    <w:rsid w:val="0025571F"/>
    <w:rsid w:val="002561FE"/>
    <w:rsid w:val="00256830"/>
    <w:rsid w:val="00256B74"/>
    <w:rsid w:val="002610D8"/>
    <w:rsid w:val="00264309"/>
    <w:rsid w:val="00271BAD"/>
    <w:rsid w:val="00272C31"/>
    <w:rsid w:val="002747EC"/>
    <w:rsid w:val="002814B9"/>
    <w:rsid w:val="002855BF"/>
    <w:rsid w:val="00286CAF"/>
    <w:rsid w:val="00291595"/>
    <w:rsid w:val="00292DD1"/>
    <w:rsid w:val="00296161"/>
    <w:rsid w:val="00297217"/>
    <w:rsid w:val="002976ED"/>
    <w:rsid w:val="002A35AA"/>
    <w:rsid w:val="002B22AA"/>
    <w:rsid w:val="002B2988"/>
    <w:rsid w:val="002C3AA9"/>
    <w:rsid w:val="002C5966"/>
    <w:rsid w:val="002D5C14"/>
    <w:rsid w:val="002D7C51"/>
    <w:rsid w:val="002E1016"/>
    <w:rsid w:val="002E41E2"/>
    <w:rsid w:val="002E4286"/>
    <w:rsid w:val="002F0D22"/>
    <w:rsid w:val="002F2836"/>
    <w:rsid w:val="002F30CE"/>
    <w:rsid w:val="0030033F"/>
    <w:rsid w:val="0030168D"/>
    <w:rsid w:val="00305105"/>
    <w:rsid w:val="00305CC8"/>
    <w:rsid w:val="00310F47"/>
    <w:rsid w:val="00311B17"/>
    <w:rsid w:val="003172DC"/>
    <w:rsid w:val="00320F70"/>
    <w:rsid w:val="00321933"/>
    <w:rsid w:val="00325AE3"/>
    <w:rsid w:val="00326069"/>
    <w:rsid w:val="0032749F"/>
    <w:rsid w:val="00332B83"/>
    <w:rsid w:val="00336024"/>
    <w:rsid w:val="00342481"/>
    <w:rsid w:val="00343325"/>
    <w:rsid w:val="00347760"/>
    <w:rsid w:val="003539FA"/>
    <w:rsid w:val="0035462D"/>
    <w:rsid w:val="00355B50"/>
    <w:rsid w:val="003611CB"/>
    <w:rsid w:val="00363A1E"/>
    <w:rsid w:val="0036459E"/>
    <w:rsid w:val="00364B41"/>
    <w:rsid w:val="00367B3B"/>
    <w:rsid w:val="00375D3C"/>
    <w:rsid w:val="00381610"/>
    <w:rsid w:val="00383096"/>
    <w:rsid w:val="0039346C"/>
    <w:rsid w:val="00397022"/>
    <w:rsid w:val="003A41EF"/>
    <w:rsid w:val="003B026F"/>
    <w:rsid w:val="003B40AD"/>
    <w:rsid w:val="003C4E37"/>
    <w:rsid w:val="003C7C62"/>
    <w:rsid w:val="003D1188"/>
    <w:rsid w:val="003E0BBE"/>
    <w:rsid w:val="003E16BE"/>
    <w:rsid w:val="003E1DF7"/>
    <w:rsid w:val="003F01B3"/>
    <w:rsid w:val="003F0592"/>
    <w:rsid w:val="003F194C"/>
    <w:rsid w:val="003F327E"/>
    <w:rsid w:val="003F4E28"/>
    <w:rsid w:val="003F64AA"/>
    <w:rsid w:val="004006E8"/>
    <w:rsid w:val="0040071B"/>
    <w:rsid w:val="004007AC"/>
    <w:rsid w:val="00401855"/>
    <w:rsid w:val="00413F54"/>
    <w:rsid w:val="00421079"/>
    <w:rsid w:val="004245E6"/>
    <w:rsid w:val="00431A6C"/>
    <w:rsid w:val="0043379D"/>
    <w:rsid w:val="00433EAD"/>
    <w:rsid w:val="00433FA7"/>
    <w:rsid w:val="004360BD"/>
    <w:rsid w:val="00436168"/>
    <w:rsid w:val="00436C06"/>
    <w:rsid w:val="004377DC"/>
    <w:rsid w:val="00446C3A"/>
    <w:rsid w:val="00450122"/>
    <w:rsid w:val="0045267F"/>
    <w:rsid w:val="004526E2"/>
    <w:rsid w:val="00452F00"/>
    <w:rsid w:val="0046173B"/>
    <w:rsid w:val="00465587"/>
    <w:rsid w:val="0047288A"/>
    <w:rsid w:val="00474AEA"/>
    <w:rsid w:val="00477455"/>
    <w:rsid w:val="00482008"/>
    <w:rsid w:val="004918C4"/>
    <w:rsid w:val="0049196F"/>
    <w:rsid w:val="00493ABD"/>
    <w:rsid w:val="004A1F7B"/>
    <w:rsid w:val="004A28D9"/>
    <w:rsid w:val="004B061C"/>
    <w:rsid w:val="004B4D66"/>
    <w:rsid w:val="004C40AD"/>
    <w:rsid w:val="004C44D2"/>
    <w:rsid w:val="004D1487"/>
    <w:rsid w:val="004D3578"/>
    <w:rsid w:val="004D380D"/>
    <w:rsid w:val="004D6CED"/>
    <w:rsid w:val="004D73D3"/>
    <w:rsid w:val="004E1DCF"/>
    <w:rsid w:val="004E213A"/>
    <w:rsid w:val="004F435D"/>
    <w:rsid w:val="004F4540"/>
    <w:rsid w:val="004F633B"/>
    <w:rsid w:val="004F73A7"/>
    <w:rsid w:val="005030B4"/>
    <w:rsid w:val="00503171"/>
    <w:rsid w:val="00503373"/>
    <w:rsid w:val="00506C28"/>
    <w:rsid w:val="0051184A"/>
    <w:rsid w:val="00511F84"/>
    <w:rsid w:val="00517AAB"/>
    <w:rsid w:val="00534DA0"/>
    <w:rsid w:val="00536E80"/>
    <w:rsid w:val="00540F5C"/>
    <w:rsid w:val="0054251D"/>
    <w:rsid w:val="00543E6C"/>
    <w:rsid w:val="00546A06"/>
    <w:rsid w:val="00547458"/>
    <w:rsid w:val="005536D2"/>
    <w:rsid w:val="0055549A"/>
    <w:rsid w:val="00555516"/>
    <w:rsid w:val="00565087"/>
    <w:rsid w:val="0056573F"/>
    <w:rsid w:val="00566276"/>
    <w:rsid w:val="00566794"/>
    <w:rsid w:val="00571279"/>
    <w:rsid w:val="0057556E"/>
    <w:rsid w:val="0058045B"/>
    <w:rsid w:val="00583C8D"/>
    <w:rsid w:val="0059050F"/>
    <w:rsid w:val="005A13AB"/>
    <w:rsid w:val="005A37F7"/>
    <w:rsid w:val="005A49C6"/>
    <w:rsid w:val="005A6717"/>
    <w:rsid w:val="005B3F6C"/>
    <w:rsid w:val="005B462B"/>
    <w:rsid w:val="005B6D9B"/>
    <w:rsid w:val="005C046A"/>
    <w:rsid w:val="005C2D97"/>
    <w:rsid w:val="005C766E"/>
    <w:rsid w:val="005C7CD5"/>
    <w:rsid w:val="005F3395"/>
    <w:rsid w:val="005F3F6F"/>
    <w:rsid w:val="005F4216"/>
    <w:rsid w:val="00603937"/>
    <w:rsid w:val="006111A1"/>
    <w:rsid w:val="00611566"/>
    <w:rsid w:val="00615C24"/>
    <w:rsid w:val="0062052B"/>
    <w:rsid w:val="006235AE"/>
    <w:rsid w:val="0062361F"/>
    <w:rsid w:val="00626236"/>
    <w:rsid w:val="0062687B"/>
    <w:rsid w:val="006312BE"/>
    <w:rsid w:val="0063232F"/>
    <w:rsid w:val="00632A5C"/>
    <w:rsid w:val="006402B9"/>
    <w:rsid w:val="00643FD0"/>
    <w:rsid w:val="00645E5F"/>
    <w:rsid w:val="00646D99"/>
    <w:rsid w:val="0065044C"/>
    <w:rsid w:val="006513E9"/>
    <w:rsid w:val="0065389F"/>
    <w:rsid w:val="00656910"/>
    <w:rsid w:val="006574C0"/>
    <w:rsid w:val="00660CA3"/>
    <w:rsid w:val="006626C7"/>
    <w:rsid w:val="00664A20"/>
    <w:rsid w:val="00670F9F"/>
    <w:rsid w:val="0067671C"/>
    <w:rsid w:val="00686109"/>
    <w:rsid w:val="00694C99"/>
    <w:rsid w:val="00696821"/>
    <w:rsid w:val="006A1948"/>
    <w:rsid w:val="006A5C9C"/>
    <w:rsid w:val="006A5F65"/>
    <w:rsid w:val="006B5AE2"/>
    <w:rsid w:val="006C66D8"/>
    <w:rsid w:val="006C7606"/>
    <w:rsid w:val="006D1A00"/>
    <w:rsid w:val="006D1E24"/>
    <w:rsid w:val="006D35DE"/>
    <w:rsid w:val="006D4527"/>
    <w:rsid w:val="006D6A69"/>
    <w:rsid w:val="006D7F59"/>
    <w:rsid w:val="006E1057"/>
    <w:rsid w:val="006E1417"/>
    <w:rsid w:val="006E181C"/>
    <w:rsid w:val="006E21CB"/>
    <w:rsid w:val="006F0477"/>
    <w:rsid w:val="006F6A2C"/>
    <w:rsid w:val="00701AA0"/>
    <w:rsid w:val="00703D3A"/>
    <w:rsid w:val="00704BB4"/>
    <w:rsid w:val="0070540F"/>
    <w:rsid w:val="007069DC"/>
    <w:rsid w:val="00710201"/>
    <w:rsid w:val="0071265B"/>
    <w:rsid w:val="0072073A"/>
    <w:rsid w:val="007256F7"/>
    <w:rsid w:val="00725CE6"/>
    <w:rsid w:val="0072775B"/>
    <w:rsid w:val="00731201"/>
    <w:rsid w:val="00733379"/>
    <w:rsid w:val="007342B5"/>
    <w:rsid w:val="00734A5B"/>
    <w:rsid w:val="00737ABE"/>
    <w:rsid w:val="0074167F"/>
    <w:rsid w:val="007438C6"/>
    <w:rsid w:val="00744E76"/>
    <w:rsid w:val="00746B24"/>
    <w:rsid w:val="007534FE"/>
    <w:rsid w:val="00755286"/>
    <w:rsid w:val="00757D40"/>
    <w:rsid w:val="00760488"/>
    <w:rsid w:val="00764D3E"/>
    <w:rsid w:val="007662B5"/>
    <w:rsid w:val="00767D3E"/>
    <w:rsid w:val="00770E94"/>
    <w:rsid w:val="007751E1"/>
    <w:rsid w:val="0077623B"/>
    <w:rsid w:val="007771C2"/>
    <w:rsid w:val="00781F0F"/>
    <w:rsid w:val="00782F2B"/>
    <w:rsid w:val="00785F71"/>
    <w:rsid w:val="0078727C"/>
    <w:rsid w:val="0079049D"/>
    <w:rsid w:val="00793DC5"/>
    <w:rsid w:val="007956E4"/>
    <w:rsid w:val="00795D9B"/>
    <w:rsid w:val="00796823"/>
    <w:rsid w:val="00796CE1"/>
    <w:rsid w:val="007A0D43"/>
    <w:rsid w:val="007A1300"/>
    <w:rsid w:val="007A2E55"/>
    <w:rsid w:val="007A3F75"/>
    <w:rsid w:val="007A4740"/>
    <w:rsid w:val="007B18D8"/>
    <w:rsid w:val="007B4230"/>
    <w:rsid w:val="007C095F"/>
    <w:rsid w:val="007C0D1C"/>
    <w:rsid w:val="007C18FF"/>
    <w:rsid w:val="007C2DD0"/>
    <w:rsid w:val="007C3A7E"/>
    <w:rsid w:val="007C6368"/>
    <w:rsid w:val="007D7A85"/>
    <w:rsid w:val="007E0AF7"/>
    <w:rsid w:val="007E54B4"/>
    <w:rsid w:val="007F2E08"/>
    <w:rsid w:val="007F3930"/>
    <w:rsid w:val="00802493"/>
    <w:rsid w:val="008024FA"/>
    <w:rsid w:val="008028A4"/>
    <w:rsid w:val="00804CF3"/>
    <w:rsid w:val="008069EC"/>
    <w:rsid w:val="00813245"/>
    <w:rsid w:val="00813931"/>
    <w:rsid w:val="00814028"/>
    <w:rsid w:val="008159EC"/>
    <w:rsid w:val="00833AC9"/>
    <w:rsid w:val="00837BBD"/>
    <w:rsid w:val="00840C07"/>
    <w:rsid w:val="00840DE0"/>
    <w:rsid w:val="00847CD0"/>
    <w:rsid w:val="008607A8"/>
    <w:rsid w:val="0086340F"/>
    <w:rsid w:val="0086354A"/>
    <w:rsid w:val="00863CAA"/>
    <w:rsid w:val="008704AA"/>
    <w:rsid w:val="00871810"/>
    <w:rsid w:val="00872925"/>
    <w:rsid w:val="00874D54"/>
    <w:rsid w:val="008768CA"/>
    <w:rsid w:val="0087694C"/>
    <w:rsid w:val="00877EF9"/>
    <w:rsid w:val="00880559"/>
    <w:rsid w:val="00881DE2"/>
    <w:rsid w:val="0088318D"/>
    <w:rsid w:val="00891D57"/>
    <w:rsid w:val="00892AE4"/>
    <w:rsid w:val="00896D90"/>
    <w:rsid w:val="008A41D5"/>
    <w:rsid w:val="008A460A"/>
    <w:rsid w:val="008B1A2A"/>
    <w:rsid w:val="008B2F7D"/>
    <w:rsid w:val="008B492B"/>
    <w:rsid w:val="008B5306"/>
    <w:rsid w:val="008B54E8"/>
    <w:rsid w:val="008B6881"/>
    <w:rsid w:val="008C2E2A"/>
    <w:rsid w:val="008C3057"/>
    <w:rsid w:val="008D1E78"/>
    <w:rsid w:val="008D2E4D"/>
    <w:rsid w:val="008D41AD"/>
    <w:rsid w:val="008D65C1"/>
    <w:rsid w:val="008E1229"/>
    <w:rsid w:val="008E22CD"/>
    <w:rsid w:val="008E656B"/>
    <w:rsid w:val="008E710F"/>
    <w:rsid w:val="008E75F3"/>
    <w:rsid w:val="008F396F"/>
    <w:rsid w:val="008F3DCD"/>
    <w:rsid w:val="008F4EC5"/>
    <w:rsid w:val="0090271F"/>
    <w:rsid w:val="00902DB9"/>
    <w:rsid w:val="0090466A"/>
    <w:rsid w:val="00906E87"/>
    <w:rsid w:val="00913D66"/>
    <w:rsid w:val="00916BBE"/>
    <w:rsid w:val="00923655"/>
    <w:rsid w:val="00923DA9"/>
    <w:rsid w:val="00924DB8"/>
    <w:rsid w:val="00926766"/>
    <w:rsid w:val="00927FCD"/>
    <w:rsid w:val="009311AD"/>
    <w:rsid w:val="00931B9F"/>
    <w:rsid w:val="009339CB"/>
    <w:rsid w:val="00936071"/>
    <w:rsid w:val="009376CD"/>
    <w:rsid w:val="00940212"/>
    <w:rsid w:val="009402D0"/>
    <w:rsid w:val="009406F1"/>
    <w:rsid w:val="0094231E"/>
    <w:rsid w:val="00942AF8"/>
    <w:rsid w:val="00942EC2"/>
    <w:rsid w:val="009474F8"/>
    <w:rsid w:val="0095051C"/>
    <w:rsid w:val="009520AC"/>
    <w:rsid w:val="00952176"/>
    <w:rsid w:val="00953FDA"/>
    <w:rsid w:val="009603BA"/>
    <w:rsid w:val="009613ED"/>
    <w:rsid w:val="00961B32"/>
    <w:rsid w:val="00962509"/>
    <w:rsid w:val="00964473"/>
    <w:rsid w:val="00970DB3"/>
    <w:rsid w:val="009736E7"/>
    <w:rsid w:val="00974BB0"/>
    <w:rsid w:val="00975BCD"/>
    <w:rsid w:val="00987265"/>
    <w:rsid w:val="009928A9"/>
    <w:rsid w:val="00993D2F"/>
    <w:rsid w:val="009A0AF3"/>
    <w:rsid w:val="009A13C7"/>
    <w:rsid w:val="009A2A35"/>
    <w:rsid w:val="009A7A65"/>
    <w:rsid w:val="009B07CD"/>
    <w:rsid w:val="009B08FF"/>
    <w:rsid w:val="009B33D9"/>
    <w:rsid w:val="009B4617"/>
    <w:rsid w:val="009B4E1E"/>
    <w:rsid w:val="009B7CDC"/>
    <w:rsid w:val="009C19E9"/>
    <w:rsid w:val="009C1FFB"/>
    <w:rsid w:val="009C30E5"/>
    <w:rsid w:val="009C395B"/>
    <w:rsid w:val="009C5939"/>
    <w:rsid w:val="009C6D8C"/>
    <w:rsid w:val="009C794A"/>
    <w:rsid w:val="009D084C"/>
    <w:rsid w:val="009D4670"/>
    <w:rsid w:val="009D5930"/>
    <w:rsid w:val="009D641D"/>
    <w:rsid w:val="009D74A6"/>
    <w:rsid w:val="009D789D"/>
    <w:rsid w:val="009D7912"/>
    <w:rsid w:val="009E07AF"/>
    <w:rsid w:val="009E0E87"/>
    <w:rsid w:val="009E1568"/>
    <w:rsid w:val="009E5B0E"/>
    <w:rsid w:val="009F2C67"/>
    <w:rsid w:val="00A02671"/>
    <w:rsid w:val="00A10F02"/>
    <w:rsid w:val="00A1621B"/>
    <w:rsid w:val="00A16FF4"/>
    <w:rsid w:val="00A17176"/>
    <w:rsid w:val="00A204CA"/>
    <w:rsid w:val="00A209D6"/>
    <w:rsid w:val="00A22738"/>
    <w:rsid w:val="00A27157"/>
    <w:rsid w:val="00A27F8A"/>
    <w:rsid w:val="00A30DCF"/>
    <w:rsid w:val="00A35CB7"/>
    <w:rsid w:val="00A35D86"/>
    <w:rsid w:val="00A36F5F"/>
    <w:rsid w:val="00A37168"/>
    <w:rsid w:val="00A430EC"/>
    <w:rsid w:val="00A45AC0"/>
    <w:rsid w:val="00A475BA"/>
    <w:rsid w:val="00A51873"/>
    <w:rsid w:val="00A52843"/>
    <w:rsid w:val="00A535C2"/>
    <w:rsid w:val="00A53724"/>
    <w:rsid w:val="00A54B2B"/>
    <w:rsid w:val="00A562A7"/>
    <w:rsid w:val="00A61167"/>
    <w:rsid w:val="00A63CA0"/>
    <w:rsid w:val="00A6697F"/>
    <w:rsid w:val="00A672FA"/>
    <w:rsid w:val="00A67F3F"/>
    <w:rsid w:val="00A703B6"/>
    <w:rsid w:val="00A70C1B"/>
    <w:rsid w:val="00A710B3"/>
    <w:rsid w:val="00A7232D"/>
    <w:rsid w:val="00A756C7"/>
    <w:rsid w:val="00A77CBA"/>
    <w:rsid w:val="00A82346"/>
    <w:rsid w:val="00A9671C"/>
    <w:rsid w:val="00AA09CB"/>
    <w:rsid w:val="00AA1553"/>
    <w:rsid w:val="00AA465B"/>
    <w:rsid w:val="00AB4ED6"/>
    <w:rsid w:val="00AB56CC"/>
    <w:rsid w:val="00AB5EA1"/>
    <w:rsid w:val="00AB7929"/>
    <w:rsid w:val="00AC2887"/>
    <w:rsid w:val="00AD1BF8"/>
    <w:rsid w:val="00AD38A8"/>
    <w:rsid w:val="00AD3F1B"/>
    <w:rsid w:val="00AD71E1"/>
    <w:rsid w:val="00AE0C5D"/>
    <w:rsid w:val="00AE3258"/>
    <w:rsid w:val="00AF72C6"/>
    <w:rsid w:val="00B01E2D"/>
    <w:rsid w:val="00B03740"/>
    <w:rsid w:val="00B04692"/>
    <w:rsid w:val="00B05380"/>
    <w:rsid w:val="00B05962"/>
    <w:rsid w:val="00B121CE"/>
    <w:rsid w:val="00B13D66"/>
    <w:rsid w:val="00B15449"/>
    <w:rsid w:val="00B166B8"/>
    <w:rsid w:val="00B16C2F"/>
    <w:rsid w:val="00B24C5F"/>
    <w:rsid w:val="00B25D79"/>
    <w:rsid w:val="00B27303"/>
    <w:rsid w:val="00B34971"/>
    <w:rsid w:val="00B477B0"/>
    <w:rsid w:val="00B47FD1"/>
    <w:rsid w:val="00B5104D"/>
    <w:rsid w:val="00B516BB"/>
    <w:rsid w:val="00B544EC"/>
    <w:rsid w:val="00B62882"/>
    <w:rsid w:val="00B709A0"/>
    <w:rsid w:val="00B70C6C"/>
    <w:rsid w:val="00B7538C"/>
    <w:rsid w:val="00B8123E"/>
    <w:rsid w:val="00B81A75"/>
    <w:rsid w:val="00B84DB2"/>
    <w:rsid w:val="00B93113"/>
    <w:rsid w:val="00B948A7"/>
    <w:rsid w:val="00B9634E"/>
    <w:rsid w:val="00B976AB"/>
    <w:rsid w:val="00BA1DEC"/>
    <w:rsid w:val="00BB125D"/>
    <w:rsid w:val="00BB602A"/>
    <w:rsid w:val="00BB65DA"/>
    <w:rsid w:val="00BC3555"/>
    <w:rsid w:val="00BD19FE"/>
    <w:rsid w:val="00BD2A0F"/>
    <w:rsid w:val="00BD54EE"/>
    <w:rsid w:val="00BE314F"/>
    <w:rsid w:val="00BF1755"/>
    <w:rsid w:val="00BF26C9"/>
    <w:rsid w:val="00BF3FD5"/>
    <w:rsid w:val="00BF636B"/>
    <w:rsid w:val="00BF74AD"/>
    <w:rsid w:val="00C10B52"/>
    <w:rsid w:val="00C12B51"/>
    <w:rsid w:val="00C1387B"/>
    <w:rsid w:val="00C15442"/>
    <w:rsid w:val="00C16633"/>
    <w:rsid w:val="00C176C2"/>
    <w:rsid w:val="00C24650"/>
    <w:rsid w:val="00C25465"/>
    <w:rsid w:val="00C3063B"/>
    <w:rsid w:val="00C308F6"/>
    <w:rsid w:val="00C31E9C"/>
    <w:rsid w:val="00C33079"/>
    <w:rsid w:val="00C33BB4"/>
    <w:rsid w:val="00C5158F"/>
    <w:rsid w:val="00C5259B"/>
    <w:rsid w:val="00C52AA9"/>
    <w:rsid w:val="00C55A12"/>
    <w:rsid w:val="00C6553E"/>
    <w:rsid w:val="00C663CB"/>
    <w:rsid w:val="00C66C50"/>
    <w:rsid w:val="00C67B58"/>
    <w:rsid w:val="00C75241"/>
    <w:rsid w:val="00C83A13"/>
    <w:rsid w:val="00C86F10"/>
    <w:rsid w:val="00C9068C"/>
    <w:rsid w:val="00C92967"/>
    <w:rsid w:val="00CA2397"/>
    <w:rsid w:val="00CA335B"/>
    <w:rsid w:val="00CA3D0C"/>
    <w:rsid w:val="00CA654B"/>
    <w:rsid w:val="00CA79D2"/>
    <w:rsid w:val="00CB49EC"/>
    <w:rsid w:val="00CB72B8"/>
    <w:rsid w:val="00CC3B37"/>
    <w:rsid w:val="00CC70B4"/>
    <w:rsid w:val="00CC717B"/>
    <w:rsid w:val="00CC7863"/>
    <w:rsid w:val="00CD0BA8"/>
    <w:rsid w:val="00CD4C7B"/>
    <w:rsid w:val="00CD58FE"/>
    <w:rsid w:val="00CD6F22"/>
    <w:rsid w:val="00CD7766"/>
    <w:rsid w:val="00CE2C24"/>
    <w:rsid w:val="00CF0728"/>
    <w:rsid w:val="00CF2A80"/>
    <w:rsid w:val="00CF2BF6"/>
    <w:rsid w:val="00D005E3"/>
    <w:rsid w:val="00D060B0"/>
    <w:rsid w:val="00D16DF4"/>
    <w:rsid w:val="00D21865"/>
    <w:rsid w:val="00D31CB6"/>
    <w:rsid w:val="00D334C7"/>
    <w:rsid w:val="00D33BE3"/>
    <w:rsid w:val="00D3792D"/>
    <w:rsid w:val="00D4052A"/>
    <w:rsid w:val="00D40AF6"/>
    <w:rsid w:val="00D41596"/>
    <w:rsid w:val="00D42A4B"/>
    <w:rsid w:val="00D46762"/>
    <w:rsid w:val="00D52BE2"/>
    <w:rsid w:val="00D55A19"/>
    <w:rsid w:val="00D55E47"/>
    <w:rsid w:val="00D61A05"/>
    <w:rsid w:val="00D62E19"/>
    <w:rsid w:val="00D62FF4"/>
    <w:rsid w:val="00D67CD1"/>
    <w:rsid w:val="00D704A3"/>
    <w:rsid w:val="00D709DF"/>
    <w:rsid w:val="00D73010"/>
    <w:rsid w:val="00D738D6"/>
    <w:rsid w:val="00D80795"/>
    <w:rsid w:val="00D821D9"/>
    <w:rsid w:val="00D8454D"/>
    <w:rsid w:val="00D85034"/>
    <w:rsid w:val="00D854BE"/>
    <w:rsid w:val="00D87E00"/>
    <w:rsid w:val="00D9134D"/>
    <w:rsid w:val="00D91425"/>
    <w:rsid w:val="00D92833"/>
    <w:rsid w:val="00D92ABC"/>
    <w:rsid w:val="00D96D11"/>
    <w:rsid w:val="00DA3B55"/>
    <w:rsid w:val="00DA3E14"/>
    <w:rsid w:val="00DA40B5"/>
    <w:rsid w:val="00DA7A03"/>
    <w:rsid w:val="00DB0277"/>
    <w:rsid w:val="00DB0DB8"/>
    <w:rsid w:val="00DB1818"/>
    <w:rsid w:val="00DB1B0E"/>
    <w:rsid w:val="00DB1CE4"/>
    <w:rsid w:val="00DB2A29"/>
    <w:rsid w:val="00DB60E3"/>
    <w:rsid w:val="00DC2039"/>
    <w:rsid w:val="00DC309B"/>
    <w:rsid w:val="00DC3C86"/>
    <w:rsid w:val="00DC4DA2"/>
    <w:rsid w:val="00DC5261"/>
    <w:rsid w:val="00DC7E49"/>
    <w:rsid w:val="00DD2B07"/>
    <w:rsid w:val="00DD5271"/>
    <w:rsid w:val="00DE1CA0"/>
    <w:rsid w:val="00DE25D2"/>
    <w:rsid w:val="00DE2752"/>
    <w:rsid w:val="00DE57BF"/>
    <w:rsid w:val="00DE77BD"/>
    <w:rsid w:val="00DF7C20"/>
    <w:rsid w:val="00E011EB"/>
    <w:rsid w:val="00E028F6"/>
    <w:rsid w:val="00E06CCB"/>
    <w:rsid w:val="00E1535A"/>
    <w:rsid w:val="00E2036A"/>
    <w:rsid w:val="00E23684"/>
    <w:rsid w:val="00E26E78"/>
    <w:rsid w:val="00E35336"/>
    <w:rsid w:val="00E365D9"/>
    <w:rsid w:val="00E36F23"/>
    <w:rsid w:val="00E40B8C"/>
    <w:rsid w:val="00E41325"/>
    <w:rsid w:val="00E42E11"/>
    <w:rsid w:val="00E46C08"/>
    <w:rsid w:val="00E471CF"/>
    <w:rsid w:val="00E517CD"/>
    <w:rsid w:val="00E61152"/>
    <w:rsid w:val="00E62835"/>
    <w:rsid w:val="00E70EA3"/>
    <w:rsid w:val="00E7126D"/>
    <w:rsid w:val="00E719C4"/>
    <w:rsid w:val="00E72289"/>
    <w:rsid w:val="00E73D30"/>
    <w:rsid w:val="00E74489"/>
    <w:rsid w:val="00E77645"/>
    <w:rsid w:val="00E83697"/>
    <w:rsid w:val="00E83845"/>
    <w:rsid w:val="00E859B6"/>
    <w:rsid w:val="00E93198"/>
    <w:rsid w:val="00E97E46"/>
    <w:rsid w:val="00EA2D2A"/>
    <w:rsid w:val="00EA3342"/>
    <w:rsid w:val="00EA4496"/>
    <w:rsid w:val="00EA4B21"/>
    <w:rsid w:val="00EA66C9"/>
    <w:rsid w:val="00EA6D34"/>
    <w:rsid w:val="00EB0747"/>
    <w:rsid w:val="00EB235B"/>
    <w:rsid w:val="00EB5D32"/>
    <w:rsid w:val="00EB7285"/>
    <w:rsid w:val="00EB7BD4"/>
    <w:rsid w:val="00EC23D8"/>
    <w:rsid w:val="00EC3920"/>
    <w:rsid w:val="00EC4A25"/>
    <w:rsid w:val="00EC5238"/>
    <w:rsid w:val="00EC6CF1"/>
    <w:rsid w:val="00ED35D9"/>
    <w:rsid w:val="00EE44AF"/>
    <w:rsid w:val="00EE4C97"/>
    <w:rsid w:val="00EE71D7"/>
    <w:rsid w:val="00EF2D93"/>
    <w:rsid w:val="00EF37A7"/>
    <w:rsid w:val="00EF612C"/>
    <w:rsid w:val="00EF767E"/>
    <w:rsid w:val="00F025A2"/>
    <w:rsid w:val="00F036E9"/>
    <w:rsid w:val="00F06B67"/>
    <w:rsid w:val="00F07388"/>
    <w:rsid w:val="00F101BF"/>
    <w:rsid w:val="00F179AF"/>
    <w:rsid w:val="00F17DEB"/>
    <w:rsid w:val="00F2026E"/>
    <w:rsid w:val="00F2210A"/>
    <w:rsid w:val="00F266F3"/>
    <w:rsid w:val="00F30B99"/>
    <w:rsid w:val="00F31372"/>
    <w:rsid w:val="00F34809"/>
    <w:rsid w:val="00F3499E"/>
    <w:rsid w:val="00F360FC"/>
    <w:rsid w:val="00F366BD"/>
    <w:rsid w:val="00F37743"/>
    <w:rsid w:val="00F37A8B"/>
    <w:rsid w:val="00F44B86"/>
    <w:rsid w:val="00F45F5D"/>
    <w:rsid w:val="00F503D8"/>
    <w:rsid w:val="00F52821"/>
    <w:rsid w:val="00F54A3D"/>
    <w:rsid w:val="00F54CB0"/>
    <w:rsid w:val="00F579CD"/>
    <w:rsid w:val="00F610C1"/>
    <w:rsid w:val="00F64418"/>
    <w:rsid w:val="00F653B8"/>
    <w:rsid w:val="00F710EB"/>
    <w:rsid w:val="00F71B10"/>
    <w:rsid w:val="00F71B89"/>
    <w:rsid w:val="00F71D95"/>
    <w:rsid w:val="00F724D2"/>
    <w:rsid w:val="00F7353C"/>
    <w:rsid w:val="00F743E4"/>
    <w:rsid w:val="00F76F8F"/>
    <w:rsid w:val="00F8329B"/>
    <w:rsid w:val="00F84501"/>
    <w:rsid w:val="00F87257"/>
    <w:rsid w:val="00F907F2"/>
    <w:rsid w:val="00F941DF"/>
    <w:rsid w:val="00FA1266"/>
    <w:rsid w:val="00FA1B39"/>
    <w:rsid w:val="00FA1EB6"/>
    <w:rsid w:val="00FA26F3"/>
    <w:rsid w:val="00FA5072"/>
    <w:rsid w:val="00FA70B0"/>
    <w:rsid w:val="00FA7D0B"/>
    <w:rsid w:val="00FB06B1"/>
    <w:rsid w:val="00FB36FA"/>
    <w:rsid w:val="00FB4730"/>
    <w:rsid w:val="00FC027C"/>
    <w:rsid w:val="00FC1192"/>
    <w:rsid w:val="00FC230A"/>
    <w:rsid w:val="00FC7A91"/>
    <w:rsid w:val="00FD125B"/>
    <w:rsid w:val="00FD5864"/>
    <w:rsid w:val="00FE084B"/>
    <w:rsid w:val="00FE0AD3"/>
    <w:rsid w:val="00FE106D"/>
    <w:rsid w:val="00FE251B"/>
    <w:rsid w:val="00FE4C50"/>
    <w:rsid w:val="00FF209B"/>
    <w:rsid w:val="00FF573D"/>
    <w:rsid w:val="039BD8F3"/>
    <w:rsid w:val="09782B23"/>
    <w:rsid w:val="195035C2"/>
    <w:rsid w:val="1C10E52C"/>
    <w:rsid w:val="2E971AF9"/>
    <w:rsid w:val="3DFC2D92"/>
    <w:rsid w:val="4DCCB721"/>
    <w:rsid w:val="6CE9D2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7B0D162-CD2A-4B4E-B17C-0AFE8C105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25571F"/>
    <w:pPr>
      <w:ind w:left="720"/>
      <w:contextualSpacing/>
    </w:pPr>
  </w:style>
  <w:style w:type="table" w:styleId="TableGrid">
    <w:name w:val="Table Grid"/>
    <w:basedOn w:val="TableNormal"/>
    <w:uiPriority w:val="39"/>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customStyle="1" w:styleId="Heading1Char">
    <w:name w:val="Heading 1 Char"/>
    <w:basedOn w:val="DefaultParagraphFont"/>
    <w:link w:val="Heading1"/>
    <w:rsid w:val="00A51873"/>
    <w:rPr>
      <w:rFonts w:ascii="Arial" w:hAnsi="Arial"/>
      <w:sz w:val="36"/>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A51873"/>
    <w:rPr>
      <w:lang w:eastAsia="en-US"/>
    </w:rPr>
  </w:style>
  <w:style w:type="paragraph" w:customStyle="1" w:styleId="Doc-comment">
    <w:name w:val="Doc-comment"/>
    <w:basedOn w:val="Normal"/>
    <w:next w:val="Normal"/>
    <w:qFormat/>
    <w:rsid w:val="006312BE"/>
    <w:pPr>
      <w:tabs>
        <w:tab w:val="left" w:pos="1622"/>
      </w:tabs>
      <w:spacing w:after="0"/>
      <w:ind w:left="1622" w:hanging="363"/>
    </w:pPr>
    <w:rPr>
      <w:rFonts w:ascii="Arial" w:eastAsia="MS Mincho" w:hAnsi="Arial"/>
      <w:i/>
      <w:szCs w:val="24"/>
      <w:lang w:eastAsia="en-GB"/>
    </w:rPr>
  </w:style>
  <w:style w:type="character" w:styleId="Mention">
    <w:name w:val="Mention"/>
    <w:basedOn w:val="DefaultParagraphFont"/>
    <w:uiPriority w:val="99"/>
    <w:unhideWhenUsed/>
    <w:rsid w:val="009F2C67"/>
    <w:rPr>
      <w:color w:val="2B579A"/>
      <w:shd w:val="clear" w:color="auto" w:fill="E1DFDD"/>
    </w:rPr>
  </w:style>
  <w:style w:type="character" w:styleId="SmartLink">
    <w:name w:val="Smart Link"/>
    <w:basedOn w:val="DefaultParagraphFont"/>
    <w:uiPriority w:val="99"/>
    <w:semiHidden/>
    <w:unhideWhenUsed/>
    <w:rsid w:val="00286CAF"/>
    <w:rPr>
      <w:color w:val="0000FF"/>
      <w:u w:val="single"/>
      <w:shd w:val="clear" w:color="auto" w:fill="F3F2F1"/>
    </w:rPr>
  </w:style>
  <w:style w:type="paragraph" w:styleId="Revision">
    <w:name w:val="Revision"/>
    <w:hidden/>
    <w:uiPriority w:val="99"/>
    <w:semiHidden/>
    <w:rsid w:val="00B166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06773">
      <w:bodyDiv w:val="1"/>
      <w:marLeft w:val="0"/>
      <w:marRight w:val="0"/>
      <w:marTop w:val="0"/>
      <w:marBottom w:val="0"/>
      <w:divBdr>
        <w:top w:val="none" w:sz="0" w:space="0" w:color="auto"/>
        <w:left w:val="none" w:sz="0" w:space="0" w:color="auto"/>
        <w:bottom w:val="none" w:sz="0" w:space="0" w:color="auto"/>
        <w:right w:val="none" w:sz="0" w:space="0" w:color="auto"/>
      </w:divBdr>
    </w:div>
    <w:div w:id="170681844">
      <w:bodyDiv w:val="1"/>
      <w:marLeft w:val="0"/>
      <w:marRight w:val="0"/>
      <w:marTop w:val="0"/>
      <w:marBottom w:val="0"/>
      <w:divBdr>
        <w:top w:val="none" w:sz="0" w:space="0" w:color="auto"/>
        <w:left w:val="none" w:sz="0" w:space="0" w:color="auto"/>
        <w:bottom w:val="none" w:sz="0" w:space="0" w:color="auto"/>
        <w:right w:val="none" w:sz="0" w:space="0" w:color="auto"/>
      </w:divBdr>
    </w:div>
    <w:div w:id="215049929">
      <w:bodyDiv w:val="1"/>
      <w:marLeft w:val="0"/>
      <w:marRight w:val="0"/>
      <w:marTop w:val="0"/>
      <w:marBottom w:val="0"/>
      <w:divBdr>
        <w:top w:val="none" w:sz="0" w:space="0" w:color="auto"/>
        <w:left w:val="none" w:sz="0" w:space="0" w:color="auto"/>
        <w:bottom w:val="none" w:sz="0" w:space="0" w:color="auto"/>
        <w:right w:val="none" w:sz="0" w:space="0" w:color="auto"/>
      </w:divBdr>
    </w:div>
    <w:div w:id="540552104">
      <w:bodyDiv w:val="1"/>
      <w:marLeft w:val="0"/>
      <w:marRight w:val="0"/>
      <w:marTop w:val="0"/>
      <w:marBottom w:val="0"/>
      <w:divBdr>
        <w:top w:val="none" w:sz="0" w:space="0" w:color="auto"/>
        <w:left w:val="none" w:sz="0" w:space="0" w:color="auto"/>
        <w:bottom w:val="none" w:sz="0" w:space="0" w:color="auto"/>
        <w:right w:val="none" w:sz="0" w:space="0" w:color="auto"/>
      </w:divBdr>
    </w:div>
    <w:div w:id="8491765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7768303">
      <w:bodyDiv w:val="1"/>
      <w:marLeft w:val="0"/>
      <w:marRight w:val="0"/>
      <w:marTop w:val="0"/>
      <w:marBottom w:val="0"/>
      <w:divBdr>
        <w:top w:val="none" w:sz="0" w:space="0" w:color="auto"/>
        <w:left w:val="none" w:sz="0" w:space="0" w:color="auto"/>
        <w:bottom w:val="none" w:sz="0" w:space="0" w:color="auto"/>
        <w:right w:val="none" w:sz="0" w:space="0" w:color="auto"/>
      </w:divBdr>
    </w:div>
    <w:div w:id="12130793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6293924">
      <w:bodyDiv w:val="1"/>
      <w:marLeft w:val="0"/>
      <w:marRight w:val="0"/>
      <w:marTop w:val="0"/>
      <w:marBottom w:val="0"/>
      <w:divBdr>
        <w:top w:val="none" w:sz="0" w:space="0" w:color="auto"/>
        <w:left w:val="none" w:sz="0" w:space="0" w:color="auto"/>
        <w:bottom w:val="none" w:sz="0" w:space="0" w:color="auto"/>
        <w:right w:val="none" w:sz="0" w:space="0" w:color="auto"/>
      </w:divBdr>
    </w:div>
    <w:div w:id="1602685041">
      <w:bodyDiv w:val="1"/>
      <w:marLeft w:val="0"/>
      <w:marRight w:val="0"/>
      <w:marTop w:val="0"/>
      <w:marBottom w:val="0"/>
      <w:divBdr>
        <w:top w:val="none" w:sz="0" w:space="0" w:color="auto"/>
        <w:left w:val="none" w:sz="0" w:space="0" w:color="auto"/>
        <w:bottom w:val="none" w:sz="0" w:space="0" w:color="auto"/>
        <w:right w:val="none" w:sz="0" w:space="0" w:color="auto"/>
      </w:divBdr>
    </w:div>
    <w:div w:id="1612279377">
      <w:bodyDiv w:val="1"/>
      <w:marLeft w:val="0"/>
      <w:marRight w:val="0"/>
      <w:marTop w:val="0"/>
      <w:marBottom w:val="0"/>
      <w:divBdr>
        <w:top w:val="none" w:sz="0" w:space="0" w:color="auto"/>
        <w:left w:val="none" w:sz="0" w:space="0" w:color="auto"/>
        <w:bottom w:val="none" w:sz="0" w:space="0" w:color="auto"/>
        <w:right w:val="none" w:sz="0" w:space="0" w:color="auto"/>
      </w:divBdr>
    </w:div>
    <w:div w:id="1742486520">
      <w:bodyDiv w:val="1"/>
      <w:marLeft w:val="0"/>
      <w:marRight w:val="0"/>
      <w:marTop w:val="0"/>
      <w:marBottom w:val="0"/>
      <w:divBdr>
        <w:top w:val="none" w:sz="0" w:space="0" w:color="auto"/>
        <w:left w:val="none" w:sz="0" w:space="0" w:color="auto"/>
        <w:bottom w:val="none" w:sz="0" w:space="0" w:color="auto"/>
        <w:right w:val="none" w:sz="0" w:space="0" w:color="auto"/>
      </w:divBdr>
    </w:div>
    <w:div w:id="1760639793">
      <w:bodyDiv w:val="1"/>
      <w:marLeft w:val="0"/>
      <w:marRight w:val="0"/>
      <w:marTop w:val="0"/>
      <w:marBottom w:val="0"/>
      <w:divBdr>
        <w:top w:val="none" w:sz="0" w:space="0" w:color="auto"/>
        <w:left w:val="none" w:sz="0" w:space="0" w:color="auto"/>
        <w:bottom w:val="none" w:sz="0" w:space="0" w:color="auto"/>
        <w:right w:val="none" w:sz="0" w:space="0" w:color="auto"/>
      </w:divBdr>
    </w:div>
    <w:div w:id="1860316493">
      <w:bodyDiv w:val="1"/>
      <w:marLeft w:val="0"/>
      <w:marRight w:val="0"/>
      <w:marTop w:val="0"/>
      <w:marBottom w:val="0"/>
      <w:divBdr>
        <w:top w:val="none" w:sz="0" w:space="0" w:color="auto"/>
        <w:left w:val="none" w:sz="0" w:space="0" w:color="auto"/>
        <w:bottom w:val="none" w:sz="0" w:space="0" w:color="auto"/>
        <w:right w:val="none" w:sz="0" w:space="0" w:color="auto"/>
      </w:divBdr>
    </w:div>
    <w:div w:id="1863592833">
      <w:bodyDiv w:val="1"/>
      <w:marLeft w:val="0"/>
      <w:marRight w:val="0"/>
      <w:marTop w:val="0"/>
      <w:marBottom w:val="0"/>
      <w:divBdr>
        <w:top w:val="none" w:sz="0" w:space="0" w:color="auto"/>
        <w:left w:val="none" w:sz="0" w:space="0" w:color="auto"/>
        <w:bottom w:val="none" w:sz="0" w:space="0" w:color="auto"/>
        <w:right w:val="none" w:sz="0" w:space="0" w:color="auto"/>
      </w:divBdr>
      <w:divsChild>
        <w:div w:id="643389016">
          <w:marLeft w:val="634"/>
          <w:marRight w:val="0"/>
          <w:marTop w:val="0"/>
          <w:marBottom w:val="80"/>
          <w:divBdr>
            <w:top w:val="none" w:sz="0" w:space="0" w:color="auto"/>
            <w:left w:val="none" w:sz="0" w:space="0" w:color="auto"/>
            <w:bottom w:val="none" w:sz="0" w:space="0" w:color="auto"/>
            <w:right w:val="none" w:sz="0" w:space="0" w:color="auto"/>
          </w:divBdr>
        </w:div>
        <w:div w:id="806699713">
          <w:marLeft w:val="634"/>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5AIRPNAIUNRU-859666464-13765</_dlc_DocId>
    <_dlc_DocIdUrl xmlns="71c5aaf6-e6ce-465b-b873-5148d2a4c105">
      <Url>https://nokia.sharepoint.com/sites/c5g/e2earch/_layouts/15/DocIdRedir.aspx?ID=5AIRPNAIUNRU-859666464-13765</Url>
      <Description>5AIRPNAIUNRU-859666464-13765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13AEB-8320-4103-897D-6006D06810A1}">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1961</Words>
  <Characters>11183</Characters>
  <Application>Microsoft Office Word</Application>
  <DocSecurity>0</DocSecurity>
  <Lines>93</Lines>
  <Paragraphs>26</Paragraphs>
  <ScaleCrop>false</ScaleCrop>
  <Manager/>
  <Company>Nokia</Company>
  <LinksUpToDate>false</LinksUpToDate>
  <CharactersWithSpaces>13118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73</cp:revision>
  <dcterms:created xsi:type="dcterms:W3CDTF">2023-04-03T14:21:00Z</dcterms:created>
  <dcterms:modified xsi:type="dcterms:W3CDTF">2023-04-07T08:59:00Z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800407bd-c93d-433e-a3a1-e3344e5ebc9d</vt:lpwstr>
  </property>
</Properties>
</file>